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1580C" w14:textId="0B583D98" w:rsidR="00FB4407" w:rsidRPr="00335C79" w:rsidRDefault="00FB4407" w:rsidP="00177514">
      <w:pPr>
        <w:spacing w:after="240" w:line="288" w:lineRule="auto"/>
        <w:jc w:val="center"/>
        <w:rPr>
          <w:rStyle w:val="BookTitle"/>
          <w:color w:val="632423"/>
          <w:u w:val="single"/>
        </w:rPr>
      </w:pPr>
      <w:r w:rsidRPr="00335C79">
        <w:rPr>
          <w:rStyle w:val="BookTitle"/>
          <w:color w:val="632423"/>
          <w:u w:val="single"/>
        </w:rPr>
        <w:t xml:space="preserve">Corporate Parenting Board Performance Report, </w:t>
      </w:r>
      <w:r w:rsidR="00335C79" w:rsidRPr="00335C79">
        <w:rPr>
          <w:rStyle w:val="BookTitle"/>
          <w:color w:val="632423"/>
          <w:u w:val="single"/>
        </w:rPr>
        <w:t>September</w:t>
      </w:r>
      <w:r w:rsidR="005579E3" w:rsidRPr="00335C79">
        <w:rPr>
          <w:rStyle w:val="BookTitle"/>
          <w:color w:val="632423"/>
          <w:u w:val="single"/>
        </w:rPr>
        <w:t xml:space="preserve"> 2015</w:t>
      </w:r>
    </w:p>
    <w:p w14:paraId="26EB7B22" w14:textId="77777777" w:rsidR="00FB4407" w:rsidRPr="00335C79" w:rsidRDefault="00FB4407" w:rsidP="005262E4">
      <w:pPr>
        <w:spacing w:after="240" w:line="288" w:lineRule="auto"/>
        <w:jc w:val="both"/>
        <w:rPr>
          <w:rStyle w:val="BookTitle"/>
          <w:smallCaps w:val="0"/>
          <w:color w:val="632423"/>
          <w:sz w:val="22"/>
        </w:rPr>
      </w:pPr>
      <w:r w:rsidRPr="00335C79">
        <w:rPr>
          <w:rStyle w:val="BookTitle"/>
          <w:smallCaps w:val="0"/>
          <w:color w:val="632423"/>
          <w:sz w:val="22"/>
        </w:rPr>
        <w:t xml:space="preserve">Lancashire changed its integrated children's system from ISSIS to LCS in February 2014; this has an </w:t>
      </w:r>
      <w:r w:rsidR="0066310B" w:rsidRPr="00335C79">
        <w:rPr>
          <w:rStyle w:val="BookTitle"/>
          <w:smallCaps w:val="0"/>
          <w:color w:val="632423"/>
          <w:sz w:val="22"/>
        </w:rPr>
        <w:t>on-going</w:t>
      </w:r>
      <w:r w:rsidRPr="00335C79">
        <w:rPr>
          <w:rStyle w:val="BookTitle"/>
          <w:smallCaps w:val="0"/>
          <w:color w:val="632423"/>
          <w:sz w:val="22"/>
        </w:rPr>
        <w:t xml:space="preserve"> impact on the ability to report accurate performance, as such some information given below is subject to change.</w:t>
      </w:r>
    </w:p>
    <w:p w14:paraId="32DF98BA" w14:textId="77777777" w:rsidR="00FB4407" w:rsidRPr="00F74B00" w:rsidRDefault="00FB4407" w:rsidP="00977DBD">
      <w:pPr>
        <w:spacing w:after="120" w:line="288" w:lineRule="auto"/>
        <w:rPr>
          <w:rStyle w:val="IntenseReference"/>
        </w:rPr>
      </w:pPr>
      <w:r w:rsidRPr="00F74B00">
        <w:rPr>
          <w:rStyle w:val="IntenseReference"/>
        </w:rPr>
        <w:t>Activity for Children Looked After and Care Leavers</w:t>
      </w:r>
    </w:p>
    <w:p w14:paraId="46F2D516" w14:textId="77777777" w:rsidR="00FB4407" w:rsidRPr="00F74B00" w:rsidRDefault="00FB4407" w:rsidP="00F2709A">
      <w:pPr>
        <w:spacing w:after="120" w:line="288" w:lineRule="auto"/>
        <w:rPr>
          <w:rStyle w:val="SubtleReference"/>
        </w:rPr>
      </w:pPr>
      <w:r w:rsidRPr="00F74B00">
        <w:rPr>
          <w:rStyle w:val="SubtleReference"/>
        </w:rPr>
        <w:t>Number of Children Looked After</w:t>
      </w:r>
    </w:p>
    <w:p w14:paraId="6CE58BB3" w14:textId="0F02A256" w:rsidR="00FB4407" w:rsidRPr="00F74B00" w:rsidRDefault="00FB4407" w:rsidP="00000C13">
      <w:pPr>
        <w:pStyle w:val="ListParagraph"/>
        <w:numPr>
          <w:ilvl w:val="0"/>
          <w:numId w:val="2"/>
        </w:numPr>
        <w:spacing w:before="120" w:after="120" w:line="288" w:lineRule="auto"/>
        <w:jc w:val="both"/>
        <w:rPr>
          <w:sz w:val="22"/>
        </w:rPr>
      </w:pPr>
      <w:r w:rsidRPr="00F74B00">
        <w:rPr>
          <w:sz w:val="22"/>
        </w:rPr>
        <w:t xml:space="preserve">As at the end of </w:t>
      </w:r>
      <w:r w:rsidR="00F74B00" w:rsidRPr="00F74B00">
        <w:rPr>
          <w:sz w:val="22"/>
        </w:rPr>
        <w:t>June</w:t>
      </w:r>
      <w:r w:rsidR="00DC6F1C" w:rsidRPr="00F74B00">
        <w:rPr>
          <w:sz w:val="22"/>
        </w:rPr>
        <w:t xml:space="preserve"> 2015</w:t>
      </w:r>
      <w:r w:rsidRPr="00F74B00">
        <w:rPr>
          <w:sz w:val="22"/>
        </w:rPr>
        <w:t xml:space="preserve">, there are </w:t>
      </w:r>
      <w:r w:rsidRPr="00F74B00">
        <w:rPr>
          <w:b/>
          <w:sz w:val="22"/>
        </w:rPr>
        <w:t>1,</w:t>
      </w:r>
      <w:r w:rsidR="00F74B00" w:rsidRPr="00F74B00">
        <w:rPr>
          <w:b/>
          <w:sz w:val="22"/>
        </w:rPr>
        <w:t>558</w:t>
      </w:r>
      <w:r w:rsidRPr="00F74B00">
        <w:rPr>
          <w:b/>
          <w:sz w:val="22"/>
        </w:rPr>
        <w:t xml:space="preserve"> </w:t>
      </w:r>
      <w:r w:rsidRPr="00F74B00">
        <w:rPr>
          <w:sz w:val="22"/>
        </w:rPr>
        <w:t>children looked after in Lancashire.</w:t>
      </w:r>
    </w:p>
    <w:p w14:paraId="3D2D42A5" w14:textId="57E1BA56" w:rsidR="00FB4407" w:rsidRPr="00F74B00" w:rsidRDefault="00FB4407" w:rsidP="00000C13">
      <w:pPr>
        <w:pStyle w:val="ListParagraph"/>
        <w:numPr>
          <w:ilvl w:val="0"/>
          <w:numId w:val="2"/>
        </w:numPr>
        <w:spacing w:before="120" w:after="120" w:line="288" w:lineRule="auto"/>
        <w:jc w:val="both"/>
        <w:rPr>
          <w:sz w:val="22"/>
        </w:rPr>
      </w:pPr>
      <w:r w:rsidRPr="00F74B00">
        <w:rPr>
          <w:sz w:val="22"/>
        </w:rPr>
        <w:t xml:space="preserve">For every </w:t>
      </w:r>
      <w:r w:rsidRPr="00F74B00">
        <w:rPr>
          <w:b/>
          <w:sz w:val="22"/>
        </w:rPr>
        <w:t>10,000</w:t>
      </w:r>
      <w:r w:rsidRPr="00F74B00">
        <w:rPr>
          <w:sz w:val="22"/>
        </w:rPr>
        <w:t xml:space="preserve"> children and young people in Lancashire, </w:t>
      </w:r>
      <w:r w:rsidR="003B09E1" w:rsidRPr="00F74B00">
        <w:rPr>
          <w:b/>
          <w:sz w:val="22"/>
        </w:rPr>
        <w:t>6</w:t>
      </w:r>
      <w:r w:rsidR="00F74B00" w:rsidRPr="00F74B00">
        <w:rPr>
          <w:b/>
          <w:sz w:val="22"/>
        </w:rPr>
        <w:t>4</w:t>
      </w:r>
      <w:r w:rsidRPr="00F74B00">
        <w:rPr>
          <w:sz w:val="22"/>
        </w:rPr>
        <w:t xml:space="preserve"> are currently looked after.</w:t>
      </w:r>
    </w:p>
    <w:p w14:paraId="0C628E15" w14:textId="3101F5F1" w:rsidR="007C01D5" w:rsidRPr="00F74B00" w:rsidRDefault="003B09E1" w:rsidP="00000C13">
      <w:pPr>
        <w:pStyle w:val="ListParagraph"/>
        <w:numPr>
          <w:ilvl w:val="0"/>
          <w:numId w:val="2"/>
        </w:numPr>
        <w:spacing w:before="120" w:after="120" w:line="288" w:lineRule="auto"/>
        <w:jc w:val="both"/>
        <w:rPr>
          <w:sz w:val="22"/>
        </w:rPr>
      </w:pPr>
      <w:r w:rsidRPr="00F74B00">
        <w:rPr>
          <w:sz w:val="22"/>
        </w:rPr>
        <w:t xml:space="preserve">The current number of children looked after is the </w:t>
      </w:r>
      <w:r w:rsidR="00E973D0" w:rsidRPr="00F74B00">
        <w:rPr>
          <w:sz w:val="22"/>
        </w:rPr>
        <w:t>lowest</w:t>
      </w:r>
      <w:r w:rsidRPr="00F74B00">
        <w:rPr>
          <w:sz w:val="22"/>
        </w:rPr>
        <w:t xml:space="preserve"> it has been </w:t>
      </w:r>
      <w:r w:rsidR="00F74B00" w:rsidRPr="00F74B00">
        <w:rPr>
          <w:sz w:val="22"/>
        </w:rPr>
        <w:t>for over 12 months.</w:t>
      </w:r>
    </w:p>
    <w:p w14:paraId="3BF182D0" w14:textId="37017457" w:rsidR="00FB4407" w:rsidRPr="00F74B00" w:rsidRDefault="00FB4407" w:rsidP="00000C13">
      <w:pPr>
        <w:pStyle w:val="ListParagraph"/>
        <w:numPr>
          <w:ilvl w:val="0"/>
          <w:numId w:val="2"/>
        </w:numPr>
        <w:spacing w:before="120" w:after="120" w:line="288" w:lineRule="auto"/>
        <w:jc w:val="both"/>
        <w:rPr>
          <w:sz w:val="22"/>
        </w:rPr>
      </w:pPr>
      <w:r w:rsidRPr="00F74B00">
        <w:rPr>
          <w:sz w:val="22"/>
        </w:rPr>
        <w:t xml:space="preserve">There are </w:t>
      </w:r>
      <w:r w:rsidRPr="00F74B00">
        <w:rPr>
          <w:b/>
          <w:sz w:val="22"/>
        </w:rPr>
        <w:t>more</w:t>
      </w:r>
      <w:r w:rsidRPr="00F74B00">
        <w:rPr>
          <w:sz w:val="22"/>
        </w:rPr>
        <w:t xml:space="preserve"> children looked after in Lan</w:t>
      </w:r>
      <w:r w:rsidR="00F76CB3" w:rsidRPr="00F74B00">
        <w:rPr>
          <w:sz w:val="22"/>
        </w:rPr>
        <w:t>cashire than in England where 60</w:t>
      </w:r>
      <w:r w:rsidRPr="00F74B00">
        <w:rPr>
          <w:sz w:val="22"/>
        </w:rPr>
        <w:t xml:space="preserve"> out of 10</w:t>
      </w:r>
      <w:r w:rsidR="00B4040A" w:rsidRPr="00F74B00">
        <w:rPr>
          <w:sz w:val="22"/>
        </w:rPr>
        <w:t xml:space="preserve">,000 are currently looked after and </w:t>
      </w:r>
      <w:r w:rsidR="003B09E1" w:rsidRPr="00F74B00">
        <w:rPr>
          <w:sz w:val="22"/>
        </w:rPr>
        <w:t xml:space="preserve">more </w:t>
      </w:r>
      <w:r w:rsidR="00B4040A" w:rsidRPr="00F74B00">
        <w:rPr>
          <w:sz w:val="22"/>
        </w:rPr>
        <w:t>than in Lancash</w:t>
      </w:r>
      <w:r w:rsidR="00E973D0" w:rsidRPr="00F74B00">
        <w:rPr>
          <w:sz w:val="22"/>
        </w:rPr>
        <w:t>ire's statistical neighbours (61</w:t>
      </w:r>
      <w:r w:rsidR="00B4040A" w:rsidRPr="00F74B00">
        <w:rPr>
          <w:sz w:val="22"/>
        </w:rPr>
        <w:t xml:space="preserve"> out of 10,000).</w:t>
      </w:r>
      <w:r w:rsidR="002167B2" w:rsidRPr="00F74B00">
        <w:rPr>
          <w:sz w:val="22"/>
        </w:rPr>
        <w:t xml:space="preserve"> </w:t>
      </w:r>
    </w:p>
    <w:p w14:paraId="3B342E78" w14:textId="77777777" w:rsidR="00FB4407" w:rsidRPr="00F74B00" w:rsidRDefault="00FB4407" w:rsidP="006C409E">
      <w:pPr>
        <w:pStyle w:val="ListParagraph"/>
        <w:numPr>
          <w:ilvl w:val="0"/>
          <w:numId w:val="2"/>
        </w:numPr>
        <w:spacing w:before="120" w:after="120" w:line="288" w:lineRule="auto"/>
        <w:jc w:val="both"/>
        <w:rPr>
          <w:sz w:val="22"/>
        </w:rPr>
      </w:pPr>
      <w:r w:rsidRPr="00F74B00">
        <w:rPr>
          <w:sz w:val="22"/>
        </w:rPr>
        <w:t xml:space="preserve">There are </w:t>
      </w:r>
      <w:r w:rsidRPr="00F74B00">
        <w:rPr>
          <w:b/>
          <w:sz w:val="22"/>
        </w:rPr>
        <w:t>less</w:t>
      </w:r>
      <w:r w:rsidRPr="00F74B00">
        <w:rPr>
          <w:sz w:val="22"/>
        </w:rPr>
        <w:t xml:space="preserve"> children looked after in Lancashire than the North West</w:t>
      </w:r>
      <w:r w:rsidR="00812015" w:rsidRPr="00F74B00">
        <w:rPr>
          <w:sz w:val="22"/>
        </w:rPr>
        <w:t xml:space="preserve"> (81</w:t>
      </w:r>
      <w:r w:rsidR="00B4040A" w:rsidRPr="00F74B00">
        <w:rPr>
          <w:sz w:val="22"/>
        </w:rPr>
        <w:t xml:space="preserve"> out of 10,000).</w:t>
      </w:r>
    </w:p>
    <w:p w14:paraId="5BE78151" w14:textId="5860609C" w:rsidR="00FB4407" w:rsidRPr="00335C79" w:rsidRDefault="004A19F7" w:rsidP="002A3CB0">
      <w:pPr>
        <w:spacing w:before="120" w:after="120" w:line="288" w:lineRule="auto"/>
        <w:jc w:val="both"/>
        <w:rPr>
          <w:sz w:val="22"/>
          <w:highlight w:val="yellow"/>
        </w:rPr>
      </w:pPr>
      <w:r w:rsidRPr="00335C79">
        <w:rPr>
          <w:noProof/>
          <w:highlight w:val="yellow"/>
          <w:lang w:eastAsia="en-GB"/>
        </w:rPr>
        <w:drawing>
          <wp:inline distT="0" distB="0" distL="0" distR="0" wp14:anchorId="73BD83AC" wp14:editId="5A92A3CF">
            <wp:extent cx="5976620" cy="2014220"/>
            <wp:effectExtent l="0" t="0" r="5080" b="508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B58E474" w14:textId="77777777" w:rsidR="00FB4407" w:rsidRPr="00F74B00" w:rsidRDefault="00FB4407" w:rsidP="00A876BB">
      <w:pPr>
        <w:spacing w:after="120" w:line="288" w:lineRule="auto"/>
        <w:rPr>
          <w:rStyle w:val="SubtleReference"/>
        </w:rPr>
      </w:pPr>
      <w:r w:rsidRPr="00F74B00">
        <w:rPr>
          <w:rStyle w:val="SubtleReference"/>
        </w:rPr>
        <w:t>Comments:</w:t>
      </w:r>
    </w:p>
    <w:p w14:paraId="7C4122C9" w14:textId="59EBEE6A" w:rsidR="00FB4407" w:rsidRPr="00F74B00" w:rsidRDefault="00FB4407" w:rsidP="00000C13">
      <w:pPr>
        <w:pStyle w:val="ListParagraph"/>
        <w:numPr>
          <w:ilvl w:val="0"/>
          <w:numId w:val="18"/>
        </w:numPr>
        <w:spacing w:before="120" w:after="120" w:line="288" w:lineRule="auto"/>
        <w:jc w:val="both"/>
        <w:rPr>
          <w:sz w:val="22"/>
        </w:rPr>
      </w:pPr>
      <w:r w:rsidRPr="00F74B00">
        <w:rPr>
          <w:sz w:val="22"/>
        </w:rPr>
        <w:t xml:space="preserve">Lancashire's number of children looked after has </w:t>
      </w:r>
      <w:r w:rsidR="00E973D0" w:rsidRPr="00F74B00">
        <w:rPr>
          <w:sz w:val="22"/>
        </w:rPr>
        <w:t xml:space="preserve">decreased in </w:t>
      </w:r>
      <w:r w:rsidR="00F74B00" w:rsidRPr="00F74B00">
        <w:rPr>
          <w:sz w:val="22"/>
        </w:rPr>
        <w:t>June</w:t>
      </w:r>
      <w:r w:rsidR="00F76CB3" w:rsidRPr="00F74B00">
        <w:rPr>
          <w:sz w:val="22"/>
        </w:rPr>
        <w:t>. There have been</w:t>
      </w:r>
      <w:r w:rsidRPr="00F74B00">
        <w:rPr>
          <w:sz w:val="22"/>
        </w:rPr>
        <w:t xml:space="preserve"> big increases</w:t>
      </w:r>
      <w:r w:rsidR="001614FD" w:rsidRPr="00F74B00">
        <w:rPr>
          <w:sz w:val="22"/>
        </w:rPr>
        <w:t xml:space="preserve"> in the number of looked after children</w:t>
      </w:r>
      <w:r w:rsidRPr="00F74B00">
        <w:rPr>
          <w:sz w:val="22"/>
        </w:rPr>
        <w:t xml:space="preserve"> over the last two years</w:t>
      </w:r>
      <w:r w:rsidR="00F74B00" w:rsidRPr="00F74B00">
        <w:rPr>
          <w:sz w:val="22"/>
        </w:rPr>
        <w:t>, however this is the lowest number for over 12 months</w:t>
      </w:r>
      <w:r w:rsidRPr="00F74B00">
        <w:rPr>
          <w:sz w:val="22"/>
        </w:rPr>
        <w:t>.</w:t>
      </w:r>
      <w:r w:rsidR="004A19F7" w:rsidRPr="00F74B00">
        <w:rPr>
          <w:sz w:val="22"/>
        </w:rPr>
        <w:t xml:space="preserve"> The rate increased slightly in </w:t>
      </w:r>
      <w:r w:rsidR="00F74B00" w:rsidRPr="00F74B00">
        <w:rPr>
          <w:sz w:val="22"/>
        </w:rPr>
        <w:t>2014/15</w:t>
      </w:r>
      <w:r w:rsidR="004A19F7" w:rsidRPr="00F74B00">
        <w:rPr>
          <w:sz w:val="22"/>
        </w:rPr>
        <w:t xml:space="preserve"> to 67 per 10,000.</w:t>
      </w:r>
    </w:p>
    <w:p w14:paraId="69E06164" w14:textId="2C8BCC9E" w:rsidR="00FB4407" w:rsidRPr="00F74B00" w:rsidRDefault="00FB4407" w:rsidP="00000C13">
      <w:pPr>
        <w:pStyle w:val="ListParagraph"/>
        <w:numPr>
          <w:ilvl w:val="0"/>
          <w:numId w:val="18"/>
        </w:numPr>
        <w:spacing w:before="120" w:after="120" w:line="288" w:lineRule="auto"/>
        <w:jc w:val="both"/>
        <w:rPr>
          <w:sz w:val="22"/>
        </w:rPr>
      </w:pPr>
      <w:r w:rsidRPr="00F74B00">
        <w:rPr>
          <w:sz w:val="22"/>
        </w:rPr>
        <w:t xml:space="preserve">Lancashire's number of children looked after is </w:t>
      </w:r>
      <w:r w:rsidR="004A19F7" w:rsidRPr="00F74B00">
        <w:rPr>
          <w:sz w:val="22"/>
        </w:rPr>
        <w:t>higher</w:t>
      </w:r>
      <w:r w:rsidRPr="00F74B00">
        <w:rPr>
          <w:sz w:val="22"/>
        </w:rPr>
        <w:t xml:space="preserve"> than that of Lancashire's statistical neighbours</w:t>
      </w:r>
      <w:r w:rsidR="004A19F7" w:rsidRPr="00F74B00">
        <w:rPr>
          <w:sz w:val="22"/>
        </w:rPr>
        <w:t xml:space="preserve"> and the national average but </w:t>
      </w:r>
      <w:r w:rsidRPr="00F74B00">
        <w:rPr>
          <w:sz w:val="22"/>
        </w:rPr>
        <w:t>lower than the average of other North West local authorities</w:t>
      </w:r>
      <w:r w:rsidR="002167B2" w:rsidRPr="00F74B00">
        <w:rPr>
          <w:sz w:val="22"/>
        </w:rPr>
        <w:t>.</w:t>
      </w:r>
    </w:p>
    <w:p w14:paraId="60053A94" w14:textId="0A358831" w:rsidR="002167B2" w:rsidRPr="00F74B00" w:rsidRDefault="002167B2" w:rsidP="00000C13">
      <w:pPr>
        <w:pStyle w:val="ListParagraph"/>
        <w:numPr>
          <w:ilvl w:val="0"/>
          <w:numId w:val="18"/>
        </w:numPr>
        <w:spacing w:before="120" w:after="120" w:line="288" w:lineRule="auto"/>
        <w:jc w:val="both"/>
        <w:rPr>
          <w:sz w:val="22"/>
        </w:rPr>
      </w:pPr>
      <w:r w:rsidRPr="00F74B00">
        <w:rPr>
          <w:sz w:val="22"/>
        </w:rPr>
        <w:t xml:space="preserve">Lancashire's statistical neighbours are Bury, Calderdale, Derbyshire, Kent, Northamptonshire, Nottinghamshire, </w:t>
      </w:r>
      <w:proofErr w:type="spellStart"/>
      <w:r w:rsidRPr="00F74B00">
        <w:rPr>
          <w:sz w:val="22"/>
        </w:rPr>
        <w:t>Sefton</w:t>
      </w:r>
      <w:proofErr w:type="spellEnd"/>
      <w:r w:rsidRPr="00F74B00">
        <w:rPr>
          <w:sz w:val="22"/>
        </w:rPr>
        <w:t xml:space="preserve">, Staffordshire, Stockport &amp; </w:t>
      </w:r>
      <w:proofErr w:type="spellStart"/>
      <w:r w:rsidRPr="00F74B00">
        <w:rPr>
          <w:sz w:val="22"/>
        </w:rPr>
        <w:t>Stockton-on-Tees</w:t>
      </w:r>
      <w:proofErr w:type="spellEnd"/>
      <w:proofErr w:type="gramStart"/>
      <w:r w:rsidR="004A19F7" w:rsidRPr="00F74B00">
        <w:rPr>
          <w:sz w:val="22"/>
        </w:rPr>
        <w:t>.</w:t>
      </w:r>
      <w:r w:rsidRPr="00F74B00">
        <w:rPr>
          <w:sz w:val="22"/>
        </w:rPr>
        <w:t>.</w:t>
      </w:r>
      <w:proofErr w:type="gramEnd"/>
    </w:p>
    <w:p w14:paraId="43A52645" w14:textId="77777777" w:rsidR="00FB4407" w:rsidRPr="00F670B9" w:rsidRDefault="00FB4407" w:rsidP="006C409E">
      <w:pPr>
        <w:pStyle w:val="ListParagraph"/>
        <w:spacing w:before="120" w:after="120" w:line="288" w:lineRule="auto"/>
        <w:ind w:left="0"/>
        <w:jc w:val="both"/>
        <w:rPr>
          <w:sz w:val="22"/>
        </w:rPr>
      </w:pPr>
    </w:p>
    <w:p w14:paraId="31B9EB20" w14:textId="77777777" w:rsidR="00FB4407" w:rsidRPr="00F670B9" w:rsidRDefault="0011131C" w:rsidP="00A876BB">
      <w:pPr>
        <w:spacing w:after="120" w:line="288" w:lineRule="auto"/>
        <w:rPr>
          <w:rStyle w:val="IntenseReference"/>
        </w:rPr>
      </w:pPr>
      <w:r w:rsidRPr="00F670B9">
        <w:rPr>
          <w:noProof/>
          <w:lang w:eastAsia="en-GB"/>
        </w:rPr>
        <w:drawing>
          <wp:anchor distT="0" distB="0" distL="114300" distR="114300" simplePos="0" relativeHeight="251654144" behindDoc="1" locked="0" layoutInCell="1" allowOverlap="1" wp14:anchorId="05292E4C" wp14:editId="17E1CB97">
            <wp:simplePos x="0" y="0"/>
            <wp:positionH relativeFrom="column">
              <wp:posOffset>4494530</wp:posOffset>
            </wp:positionH>
            <wp:positionV relativeFrom="paragraph">
              <wp:posOffset>171450</wp:posOffset>
            </wp:positionV>
            <wp:extent cx="1485900" cy="971550"/>
            <wp:effectExtent l="0" t="0" r="0" b="0"/>
            <wp:wrapTight wrapText="bothSides">
              <wp:wrapPolygon edited="0">
                <wp:start x="0" y="0"/>
                <wp:lineTo x="0" y="21176"/>
                <wp:lineTo x="21323" y="21176"/>
                <wp:lineTo x="21323" y="0"/>
                <wp:lineTo x="0" y="0"/>
              </wp:wrapPolygon>
            </wp:wrapTight>
            <wp:docPr id="13" name="Picture 7" descr="Call Cent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ll Centre.bmp"/>
                    <pic:cNvPicPr>
                      <a:picLocks noChangeAspect="1" noChangeArrowheads="1"/>
                    </pic:cNvPicPr>
                  </pic:nvPicPr>
                  <pic:blipFill>
                    <a:blip r:embed="rId9">
                      <a:lum bright="24000" contrast="-24000"/>
                      <a:extLst>
                        <a:ext uri="{28A0092B-C50C-407E-A947-70E740481C1C}">
                          <a14:useLocalDpi xmlns:a14="http://schemas.microsoft.com/office/drawing/2010/main" val="0"/>
                        </a:ext>
                      </a:extLst>
                    </a:blip>
                    <a:srcRect/>
                    <a:stretch>
                      <a:fillRect/>
                    </a:stretch>
                  </pic:blipFill>
                  <pic:spPr bwMode="auto">
                    <a:xfrm>
                      <a:off x="0" y="0"/>
                      <a:ext cx="1485900" cy="971550"/>
                    </a:xfrm>
                    <a:prstGeom prst="rect">
                      <a:avLst/>
                    </a:prstGeom>
                    <a:noFill/>
                  </pic:spPr>
                </pic:pic>
              </a:graphicData>
            </a:graphic>
            <wp14:sizeRelH relativeFrom="page">
              <wp14:pctWidth>0</wp14:pctWidth>
            </wp14:sizeRelH>
            <wp14:sizeRelV relativeFrom="page">
              <wp14:pctHeight>0</wp14:pctHeight>
            </wp14:sizeRelV>
          </wp:anchor>
        </w:drawing>
      </w:r>
      <w:r w:rsidR="00FB4407" w:rsidRPr="00F670B9">
        <w:rPr>
          <w:rStyle w:val="IntenseReference"/>
        </w:rPr>
        <w:t>Service Activity</w:t>
      </w:r>
    </w:p>
    <w:p w14:paraId="447DFE18" w14:textId="77777777" w:rsidR="00FB4407" w:rsidRPr="00F670B9" w:rsidRDefault="00FB4407" w:rsidP="000C5EE1">
      <w:pPr>
        <w:spacing w:before="120" w:after="120" w:line="288" w:lineRule="auto"/>
        <w:jc w:val="both"/>
        <w:rPr>
          <w:sz w:val="22"/>
        </w:rPr>
      </w:pPr>
      <w:r w:rsidRPr="00F670B9">
        <w:rPr>
          <w:sz w:val="22"/>
        </w:rPr>
        <w:t xml:space="preserve">Service activity helps to explain the rise in the number of children looked after in </w:t>
      </w:r>
      <w:smartTag w:uri="urn:schemas-microsoft-com:office:smarttags" w:element="place">
        <w:r w:rsidRPr="00F670B9">
          <w:rPr>
            <w:sz w:val="22"/>
          </w:rPr>
          <w:t>Lancashire</w:t>
        </w:r>
      </w:smartTag>
      <w:r w:rsidRPr="00F670B9">
        <w:rPr>
          <w:sz w:val="22"/>
        </w:rPr>
        <w:t>:</w:t>
      </w:r>
    </w:p>
    <w:p w14:paraId="3089C5E5" w14:textId="77777777" w:rsidR="00FB4407" w:rsidRPr="00F670B9" w:rsidRDefault="00FB4407" w:rsidP="00947BD5">
      <w:pPr>
        <w:pStyle w:val="ListParagraph"/>
        <w:numPr>
          <w:ilvl w:val="0"/>
          <w:numId w:val="5"/>
        </w:numPr>
        <w:spacing w:before="120" w:after="120" w:line="288" w:lineRule="auto"/>
        <w:jc w:val="both"/>
        <w:rPr>
          <w:sz w:val="22"/>
        </w:rPr>
      </w:pPr>
      <w:r w:rsidRPr="00F670B9">
        <w:rPr>
          <w:sz w:val="22"/>
        </w:rPr>
        <w:t xml:space="preserve">The contact centre has received </w:t>
      </w:r>
      <w:r w:rsidR="00645233" w:rsidRPr="00F670B9">
        <w:rPr>
          <w:b/>
          <w:sz w:val="22"/>
        </w:rPr>
        <w:t>less</w:t>
      </w:r>
      <w:r w:rsidRPr="00F670B9">
        <w:rPr>
          <w:sz w:val="22"/>
        </w:rPr>
        <w:t xml:space="preserve"> </w:t>
      </w:r>
      <w:r w:rsidR="00645233" w:rsidRPr="00F670B9">
        <w:rPr>
          <w:sz w:val="22"/>
        </w:rPr>
        <w:t>referrals</w:t>
      </w:r>
      <w:r w:rsidRPr="00F670B9">
        <w:rPr>
          <w:sz w:val="22"/>
        </w:rPr>
        <w:t xml:space="preserve"> than in </w:t>
      </w:r>
      <w:r w:rsidR="00DE39A4" w:rsidRPr="00F670B9">
        <w:rPr>
          <w:sz w:val="22"/>
        </w:rPr>
        <w:t>previous years</w:t>
      </w:r>
      <w:r w:rsidRPr="00F670B9">
        <w:rPr>
          <w:sz w:val="22"/>
        </w:rPr>
        <w:t xml:space="preserve">, although </w:t>
      </w:r>
      <w:r w:rsidR="00645233" w:rsidRPr="00F670B9">
        <w:rPr>
          <w:b/>
          <w:sz w:val="22"/>
        </w:rPr>
        <w:t>more</w:t>
      </w:r>
      <w:r w:rsidR="00645233" w:rsidRPr="00F670B9">
        <w:rPr>
          <w:sz w:val="22"/>
        </w:rPr>
        <w:t xml:space="preserve"> </w:t>
      </w:r>
      <w:r w:rsidRPr="00F670B9">
        <w:rPr>
          <w:sz w:val="22"/>
        </w:rPr>
        <w:t>contacts.</w:t>
      </w:r>
      <w:r w:rsidR="00645233" w:rsidRPr="00F670B9">
        <w:rPr>
          <w:sz w:val="22"/>
        </w:rPr>
        <w:t xml:space="preserve"> </w:t>
      </w:r>
    </w:p>
    <w:p w14:paraId="3079C09A" w14:textId="77777777" w:rsidR="00645233" w:rsidRPr="00F670B9" w:rsidRDefault="00645233" w:rsidP="00645233">
      <w:pPr>
        <w:pStyle w:val="ListParagraph"/>
        <w:numPr>
          <w:ilvl w:val="0"/>
          <w:numId w:val="5"/>
        </w:numPr>
        <w:spacing w:before="120" w:after="120" w:line="288" w:lineRule="auto"/>
        <w:jc w:val="both"/>
        <w:rPr>
          <w:sz w:val="22"/>
        </w:rPr>
      </w:pPr>
      <w:r w:rsidRPr="00F670B9">
        <w:rPr>
          <w:sz w:val="22"/>
        </w:rPr>
        <w:t xml:space="preserve">A referral is information received regarding a child that is deemed to require social care involvement. A contact is </w:t>
      </w:r>
      <w:r w:rsidR="006D08A7" w:rsidRPr="00F670B9">
        <w:rPr>
          <w:sz w:val="22"/>
        </w:rPr>
        <w:t xml:space="preserve">any </w:t>
      </w:r>
      <w:r w:rsidRPr="00F670B9">
        <w:rPr>
          <w:sz w:val="22"/>
        </w:rPr>
        <w:t>information received</w:t>
      </w:r>
      <w:r w:rsidR="001D1A01" w:rsidRPr="00F670B9">
        <w:rPr>
          <w:sz w:val="22"/>
        </w:rPr>
        <w:t xml:space="preserve"> that doesn't lead to a referral.</w:t>
      </w:r>
    </w:p>
    <w:p w14:paraId="49DEA8B0" w14:textId="77777777" w:rsidR="00645233" w:rsidRPr="00F670B9" w:rsidRDefault="00FB4407" w:rsidP="00EE5641">
      <w:pPr>
        <w:pStyle w:val="ListParagraph"/>
        <w:numPr>
          <w:ilvl w:val="0"/>
          <w:numId w:val="5"/>
        </w:numPr>
        <w:spacing w:before="120" w:after="120" w:line="288" w:lineRule="auto"/>
        <w:jc w:val="both"/>
        <w:rPr>
          <w:sz w:val="22"/>
        </w:rPr>
      </w:pPr>
      <w:r w:rsidRPr="00F670B9">
        <w:rPr>
          <w:sz w:val="22"/>
        </w:rPr>
        <w:lastRenderedPageBreak/>
        <w:t>The social work teams have moved from initial and core assessments to a new single assessment from 1</w:t>
      </w:r>
      <w:r w:rsidRPr="00F670B9">
        <w:rPr>
          <w:sz w:val="22"/>
          <w:vertAlign w:val="superscript"/>
        </w:rPr>
        <w:t>st</w:t>
      </w:r>
      <w:r w:rsidRPr="00F670B9">
        <w:rPr>
          <w:sz w:val="22"/>
        </w:rPr>
        <w:t xml:space="preserve"> April 2014. </w:t>
      </w:r>
    </w:p>
    <w:p w14:paraId="7DFA527B" w14:textId="77777777" w:rsidR="00B4040A" w:rsidRPr="00335C79" w:rsidRDefault="00B4040A" w:rsidP="00B4040A">
      <w:pPr>
        <w:pStyle w:val="ListParagraph"/>
        <w:spacing w:before="120" w:after="120" w:line="288" w:lineRule="auto"/>
        <w:ind w:left="360"/>
        <w:jc w:val="both"/>
        <w:rPr>
          <w:sz w:val="22"/>
          <w:highlight w:val="yellow"/>
        </w:rPr>
      </w:pPr>
    </w:p>
    <w:p w14:paraId="073B4421" w14:textId="77777777" w:rsidR="00A118CA" w:rsidRPr="009E6914" w:rsidRDefault="00A118CA" w:rsidP="00A118CA">
      <w:pPr>
        <w:pStyle w:val="ListParagraph"/>
        <w:spacing w:before="120" w:after="120" w:line="288" w:lineRule="auto"/>
        <w:ind w:left="360"/>
        <w:jc w:val="both"/>
        <w:rPr>
          <w:sz w:val="22"/>
        </w:rPr>
      </w:pPr>
    </w:p>
    <w:tbl>
      <w:tblPr>
        <w:tblW w:w="10051" w:type="dxa"/>
        <w:jc w:val="center"/>
        <w:tblLayout w:type="fixed"/>
        <w:tblLook w:val="00A0" w:firstRow="1" w:lastRow="0" w:firstColumn="1" w:lastColumn="0" w:noHBand="0" w:noVBand="0"/>
      </w:tblPr>
      <w:tblGrid>
        <w:gridCol w:w="3154"/>
        <w:gridCol w:w="1134"/>
        <w:gridCol w:w="1134"/>
        <w:gridCol w:w="1114"/>
        <w:gridCol w:w="1147"/>
        <w:gridCol w:w="2368"/>
      </w:tblGrid>
      <w:tr w:rsidR="00FB4407" w:rsidRPr="009E6914" w14:paraId="16FB9694" w14:textId="77777777" w:rsidTr="00FF3E9E">
        <w:trPr>
          <w:trHeight w:val="315"/>
          <w:jc w:val="center"/>
        </w:trPr>
        <w:tc>
          <w:tcPr>
            <w:tcW w:w="3154" w:type="dxa"/>
            <w:tcBorders>
              <w:top w:val="nil"/>
              <w:left w:val="nil"/>
              <w:bottom w:val="nil"/>
              <w:right w:val="nil"/>
            </w:tcBorders>
            <w:noWrap/>
            <w:vAlign w:val="bottom"/>
          </w:tcPr>
          <w:p w14:paraId="07B15AD1" w14:textId="77777777" w:rsidR="00FB4407" w:rsidRPr="009E6914" w:rsidRDefault="00FB4407" w:rsidP="00040385">
            <w:pPr>
              <w:spacing w:after="0" w:line="240" w:lineRule="auto"/>
              <w:rPr>
                <w:rFonts w:ascii="Calibri" w:hAnsi="Calibri"/>
                <w:color w:val="000000"/>
                <w:lang w:eastAsia="en-GB"/>
              </w:rPr>
            </w:pPr>
          </w:p>
        </w:tc>
        <w:tc>
          <w:tcPr>
            <w:tcW w:w="4529" w:type="dxa"/>
            <w:gridSpan w:val="4"/>
            <w:tcBorders>
              <w:top w:val="single" w:sz="4" w:space="0" w:color="auto"/>
              <w:left w:val="single" w:sz="4" w:space="0" w:color="auto"/>
              <w:bottom w:val="single" w:sz="4" w:space="0" w:color="auto"/>
              <w:right w:val="single" w:sz="4" w:space="0" w:color="000000"/>
            </w:tcBorders>
            <w:shd w:val="clear" w:color="000000" w:fill="EAF1DD"/>
            <w:noWrap/>
            <w:vAlign w:val="center"/>
          </w:tcPr>
          <w:p w14:paraId="39F5B993" w14:textId="77777777" w:rsidR="00FB4407" w:rsidRPr="009E6914" w:rsidRDefault="00FB4407" w:rsidP="00040385">
            <w:pPr>
              <w:spacing w:after="0" w:line="240" w:lineRule="auto"/>
              <w:jc w:val="center"/>
              <w:rPr>
                <w:rFonts w:ascii="Calibri" w:hAnsi="Calibri"/>
                <w:color w:val="000000"/>
                <w:szCs w:val="24"/>
                <w:lang w:eastAsia="en-GB"/>
              </w:rPr>
            </w:pPr>
            <w:r w:rsidRPr="009E6914">
              <w:rPr>
                <w:rFonts w:ascii="Calibri" w:hAnsi="Calibri"/>
                <w:color w:val="000000"/>
                <w:szCs w:val="24"/>
                <w:lang w:eastAsia="en-GB"/>
              </w:rPr>
              <w:t>Previous Performance</w:t>
            </w:r>
          </w:p>
        </w:tc>
        <w:tc>
          <w:tcPr>
            <w:tcW w:w="2368" w:type="dxa"/>
            <w:tcBorders>
              <w:top w:val="single" w:sz="4" w:space="0" w:color="auto"/>
              <w:left w:val="nil"/>
              <w:bottom w:val="single" w:sz="4" w:space="0" w:color="auto"/>
              <w:right w:val="single" w:sz="4" w:space="0" w:color="auto"/>
            </w:tcBorders>
            <w:shd w:val="clear" w:color="000000" w:fill="EAF1DD"/>
            <w:noWrap/>
            <w:vAlign w:val="center"/>
          </w:tcPr>
          <w:p w14:paraId="22DD1857" w14:textId="77777777" w:rsidR="00FB4407" w:rsidRPr="009E6914" w:rsidRDefault="00FB4407" w:rsidP="00040385">
            <w:pPr>
              <w:spacing w:after="0" w:line="240" w:lineRule="auto"/>
              <w:jc w:val="center"/>
              <w:rPr>
                <w:rFonts w:ascii="Calibri" w:hAnsi="Calibri"/>
                <w:color w:val="000000"/>
                <w:szCs w:val="24"/>
                <w:lang w:eastAsia="en-GB"/>
              </w:rPr>
            </w:pPr>
            <w:r w:rsidRPr="009E6914">
              <w:rPr>
                <w:rFonts w:ascii="Calibri" w:hAnsi="Calibri"/>
                <w:color w:val="000000"/>
                <w:szCs w:val="24"/>
                <w:lang w:eastAsia="en-GB"/>
              </w:rPr>
              <w:t>Current Performance</w:t>
            </w:r>
          </w:p>
        </w:tc>
      </w:tr>
      <w:tr w:rsidR="0077698F" w:rsidRPr="009E6914" w14:paraId="2A1E078A" w14:textId="77777777" w:rsidTr="00FF3E9E">
        <w:trPr>
          <w:trHeight w:val="315"/>
          <w:jc w:val="center"/>
        </w:trPr>
        <w:tc>
          <w:tcPr>
            <w:tcW w:w="3154" w:type="dxa"/>
            <w:tcBorders>
              <w:top w:val="nil"/>
              <w:left w:val="nil"/>
              <w:bottom w:val="nil"/>
              <w:right w:val="single" w:sz="4" w:space="0" w:color="auto"/>
            </w:tcBorders>
            <w:noWrap/>
            <w:vAlign w:val="bottom"/>
          </w:tcPr>
          <w:p w14:paraId="4CCC5E7E" w14:textId="77777777" w:rsidR="0077698F" w:rsidRPr="009E6914" w:rsidRDefault="0077698F" w:rsidP="0077698F">
            <w:pPr>
              <w:spacing w:after="0" w:line="240" w:lineRule="auto"/>
              <w:rPr>
                <w:rFonts w:ascii="Calibri" w:hAnsi="Calibri"/>
                <w:color w:val="000000"/>
                <w:lang w:eastAsia="en-GB"/>
              </w:rPr>
            </w:pPr>
          </w:p>
        </w:tc>
        <w:tc>
          <w:tcPr>
            <w:tcW w:w="1134" w:type="dxa"/>
            <w:tcBorders>
              <w:top w:val="single" w:sz="4" w:space="0" w:color="auto"/>
              <w:left w:val="single" w:sz="4" w:space="0" w:color="auto"/>
              <w:bottom w:val="single" w:sz="4" w:space="0" w:color="auto"/>
              <w:right w:val="single" w:sz="4" w:space="0" w:color="auto"/>
            </w:tcBorders>
            <w:shd w:val="clear" w:color="000000" w:fill="EAF1DD"/>
            <w:noWrap/>
            <w:vAlign w:val="center"/>
          </w:tcPr>
          <w:p w14:paraId="5751E07D" w14:textId="5525BE38" w:rsidR="0077698F" w:rsidRPr="009E6914" w:rsidRDefault="0077698F" w:rsidP="0077698F">
            <w:pPr>
              <w:spacing w:after="0" w:line="240" w:lineRule="auto"/>
              <w:jc w:val="center"/>
              <w:rPr>
                <w:rFonts w:ascii="Calibri" w:hAnsi="Calibri"/>
                <w:color w:val="000000"/>
                <w:szCs w:val="24"/>
                <w:lang w:eastAsia="en-GB"/>
              </w:rPr>
            </w:pPr>
            <w:r w:rsidRPr="009E6914">
              <w:rPr>
                <w:rFonts w:ascii="Calibri" w:hAnsi="Calibri"/>
                <w:color w:val="000000"/>
                <w:szCs w:val="24"/>
                <w:lang w:eastAsia="en-GB"/>
              </w:rPr>
              <w:t>2011/12</w:t>
            </w:r>
          </w:p>
        </w:tc>
        <w:tc>
          <w:tcPr>
            <w:tcW w:w="1134" w:type="dxa"/>
            <w:tcBorders>
              <w:top w:val="nil"/>
              <w:left w:val="nil"/>
              <w:bottom w:val="single" w:sz="4" w:space="0" w:color="auto"/>
              <w:right w:val="single" w:sz="4" w:space="0" w:color="auto"/>
            </w:tcBorders>
            <w:shd w:val="clear" w:color="000000" w:fill="EAF1DD"/>
            <w:noWrap/>
            <w:vAlign w:val="center"/>
          </w:tcPr>
          <w:p w14:paraId="7B1DF7A5" w14:textId="4952350D" w:rsidR="0077698F" w:rsidRPr="009E6914" w:rsidRDefault="0077698F" w:rsidP="0077698F">
            <w:pPr>
              <w:spacing w:after="0" w:line="240" w:lineRule="auto"/>
              <w:jc w:val="center"/>
              <w:rPr>
                <w:rFonts w:ascii="Calibri" w:hAnsi="Calibri"/>
                <w:color w:val="000000"/>
                <w:szCs w:val="24"/>
                <w:lang w:eastAsia="en-GB"/>
              </w:rPr>
            </w:pPr>
            <w:r w:rsidRPr="009E6914">
              <w:rPr>
                <w:rFonts w:ascii="Calibri" w:hAnsi="Calibri"/>
                <w:color w:val="000000"/>
                <w:szCs w:val="24"/>
                <w:lang w:eastAsia="en-GB"/>
              </w:rPr>
              <w:t>2012/13</w:t>
            </w:r>
          </w:p>
        </w:tc>
        <w:tc>
          <w:tcPr>
            <w:tcW w:w="1114" w:type="dxa"/>
            <w:tcBorders>
              <w:top w:val="nil"/>
              <w:left w:val="nil"/>
              <w:bottom w:val="single" w:sz="4" w:space="0" w:color="auto"/>
              <w:right w:val="single" w:sz="4" w:space="0" w:color="auto"/>
            </w:tcBorders>
            <w:shd w:val="clear" w:color="000000" w:fill="EAF1DD"/>
            <w:noWrap/>
            <w:vAlign w:val="center"/>
          </w:tcPr>
          <w:p w14:paraId="47B265C9" w14:textId="6EEA4552" w:rsidR="0077698F" w:rsidRPr="009E6914" w:rsidRDefault="0077698F" w:rsidP="0077698F">
            <w:pPr>
              <w:spacing w:after="0" w:line="240" w:lineRule="auto"/>
              <w:jc w:val="center"/>
              <w:rPr>
                <w:rFonts w:ascii="Calibri" w:hAnsi="Calibri"/>
                <w:color w:val="000000"/>
                <w:szCs w:val="24"/>
                <w:lang w:eastAsia="en-GB"/>
              </w:rPr>
            </w:pPr>
            <w:r w:rsidRPr="009E6914">
              <w:rPr>
                <w:rFonts w:ascii="Calibri" w:hAnsi="Calibri"/>
                <w:color w:val="000000"/>
                <w:szCs w:val="24"/>
                <w:lang w:eastAsia="en-GB"/>
              </w:rPr>
              <w:t>2013/14</w:t>
            </w:r>
          </w:p>
        </w:tc>
        <w:tc>
          <w:tcPr>
            <w:tcW w:w="1147" w:type="dxa"/>
            <w:tcBorders>
              <w:top w:val="nil"/>
              <w:left w:val="nil"/>
              <w:bottom w:val="single" w:sz="4" w:space="0" w:color="auto"/>
              <w:right w:val="single" w:sz="4" w:space="0" w:color="auto"/>
            </w:tcBorders>
            <w:shd w:val="clear" w:color="000000" w:fill="EAF1DD"/>
            <w:noWrap/>
            <w:vAlign w:val="center"/>
          </w:tcPr>
          <w:p w14:paraId="21F798C7" w14:textId="0386A63E" w:rsidR="0077698F" w:rsidRPr="009E6914" w:rsidRDefault="0077698F" w:rsidP="0077698F">
            <w:pPr>
              <w:spacing w:after="0" w:line="240" w:lineRule="auto"/>
              <w:jc w:val="center"/>
              <w:rPr>
                <w:rFonts w:ascii="Calibri" w:hAnsi="Calibri"/>
                <w:color w:val="000000"/>
                <w:szCs w:val="24"/>
                <w:lang w:eastAsia="en-GB"/>
              </w:rPr>
            </w:pPr>
            <w:r w:rsidRPr="009E6914">
              <w:rPr>
                <w:rFonts w:ascii="Calibri" w:hAnsi="Calibri"/>
                <w:color w:val="000000"/>
                <w:szCs w:val="24"/>
                <w:lang w:eastAsia="en-GB"/>
              </w:rPr>
              <w:t>2014/15</w:t>
            </w:r>
          </w:p>
        </w:tc>
        <w:tc>
          <w:tcPr>
            <w:tcW w:w="2368" w:type="dxa"/>
            <w:tcBorders>
              <w:top w:val="nil"/>
              <w:left w:val="nil"/>
              <w:bottom w:val="single" w:sz="4" w:space="0" w:color="auto"/>
              <w:right w:val="single" w:sz="4" w:space="0" w:color="auto"/>
            </w:tcBorders>
            <w:shd w:val="clear" w:color="000000" w:fill="EAF1DD"/>
          </w:tcPr>
          <w:p w14:paraId="32ACCC15" w14:textId="4FD14EC4" w:rsidR="0077698F" w:rsidRPr="009E6914" w:rsidRDefault="00F670B9" w:rsidP="002E0253">
            <w:pPr>
              <w:spacing w:after="0" w:line="240" w:lineRule="auto"/>
              <w:jc w:val="center"/>
              <w:rPr>
                <w:rFonts w:ascii="Calibri" w:hAnsi="Calibri"/>
                <w:color w:val="000000"/>
                <w:szCs w:val="24"/>
                <w:lang w:eastAsia="en-GB"/>
              </w:rPr>
            </w:pPr>
            <w:r w:rsidRPr="009E6914">
              <w:rPr>
                <w:rFonts w:ascii="Calibri" w:hAnsi="Calibri"/>
                <w:color w:val="000000"/>
                <w:szCs w:val="24"/>
                <w:lang w:eastAsia="en-GB"/>
              </w:rPr>
              <w:t>2015/16 (</w:t>
            </w:r>
            <w:r w:rsidR="002E0253">
              <w:rPr>
                <w:rFonts w:ascii="Calibri" w:hAnsi="Calibri"/>
                <w:color w:val="000000"/>
                <w:szCs w:val="24"/>
                <w:lang w:eastAsia="en-GB"/>
              </w:rPr>
              <w:t>YTD Ave.</w:t>
            </w:r>
            <w:r w:rsidR="0077698F" w:rsidRPr="009E6914">
              <w:rPr>
                <w:rFonts w:ascii="Calibri" w:hAnsi="Calibri"/>
                <w:color w:val="000000"/>
                <w:szCs w:val="24"/>
                <w:lang w:eastAsia="en-GB"/>
              </w:rPr>
              <w:t>)</w:t>
            </w:r>
          </w:p>
        </w:tc>
      </w:tr>
      <w:tr w:rsidR="0077698F" w:rsidRPr="009E6914" w14:paraId="0E98C8B5" w14:textId="77777777" w:rsidTr="00FF3E9E">
        <w:trPr>
          <w:trHeight w:val="315"/>
          <w:jc w:val="center"/>
        </w:trPr>
        <w:tc>
          <w:tcPr>
            <w:tcW w:w="3154" w:type="dxa"/>
            <w:tcBorders>
              <w:top w:val="single" w:sz="4" w:space="0" w:color="auto"/>
              <w:left w:val="single" w:sz="4" w:space="0" w:color="auto"/>
              <w:bottom w:val="single" w:sz="4" w:space="0" w:color="auto"/>
              <w:right w:val="single" w:sz="4" w:space="0" w:color="auto"/>
            </w:tcBorders>
            <w:noWrap/>
            <w:vAlign w:val="center"/>
          </w:tcPr>
          <w:p w14:paraId="5D13FEAA" w14:textId="77777777" w:rsidR="0077698F" w:rsidRPr="009E6914" w:rsidRDefault="0077698F" w:rsidP="0077698F">
            <w:pPr>
              <w:spacing w:after="0" w:line="240" w:lineRule="auto"/>
              <w:rPr>
                <w:rFonts w:ascii="Calibri" w:hAnsi="Calibri"/>
                <w:color w:val="000000"/>
                <w:szCs w:val="24"/>
                <w:lang w:eastAsia="en-GB"/>
              </w:rPr>
            </w:pPr>
            <w:r w:rsidRPr="009E6914">
              <w:rPr>
                <w:rFonts w:ascii="Calibri" w:hAnsi="Calibri"/>
                <w:color w:val="000000"/>
                <w:szCs w:val="24"/>
                <w:lang w:eastAsia="en-GB"/>
              </w:rPr>
              <w:t xml:space="preserve">Contacts </w:t>
            </w:r>
            <w:r w:rsidRPr="009E6914">
              <w:rPr>
                <w:rFonts w:ascii="Calibri" w:hAnsi="Calibri"/>
                <w:i/>
                <w:iCs/>
                <w:color w:val="000000"/>
                <w:szCs w:val="24"/>
                <w:lang w:eastAsia="en-GB"/>
              </w:rPr>
              <w:t>per month</w:t>
            </w:r>
          </w:p>
        </w:tc>
        <w:tc>
          <w:tcPr>
            <w:tcW w:w="1134" w:type="dxa"/>
            <w:tcBorders>
              <w:top w:val="nil"/>
              <w:left w:val="nil"/>
              <w:bottom w:val="single" w:sz="4" w:space="0" w:color="auto"/>
              <w:right w:val="single" w:sz="4" w:space="0" w:color="auto"/>
            </w:tcBorders>
            <w:noWrap/>
            <w:vAlign w:val="center"/>
          </w:tcPr>
          <w:p w14:paraId="631DAF2D" w14:textId="11E7D343" w:rsidR="0077698F" w:rsidRPr="009E6914" w:rsidRDefault="0077698F" w:rsidP="0077698F">
            <w:pPr>
              <w:spacing w:after="0" w:line="240" w:lineRule="auto"/>
              <w:jc w:val="center"/>
              <w:rPr>
                <w:rFonts w:ascii="Calibri" w:hAnsi="Calibri"/>
                <w:color w:val="000000"/>
                <w:szCs w:val="24"/>
                <w:lang w:eastAsia="en-GB"/>
              </w:rPr>
            </w:pPr>
            <w:r w:rsidRPr="009E6914">
              <w:rPr>
                <w:rFonts w:ascii="Calibri" w:hAnsi="Calibri"/>
                <w:color w:val="000000"/>
                <w:szCs w:val="24"/>
                <w:lang w:eastAsia="en-GB"/>
              </w:rPr>
              <w:t>1284</w:t>
            </w:r>
          </w:p>
        </w:tc>
        <w:tc>
          <w:tcPr>
            <w:tcW w:w="1134" w:type="dxa"/>
            <w:tcBorders>
              <w:top w:val="nil"/>
              <w:left w:val="nil"/>
              <w:bottom w:val="single" w:sz="4" w:space="0" w:color="auto"/>
              <w:right w:val="single" w:sz="4" w:space="0" w:color="auto"/>
            </w:tcBorders>
            <w:noWrap/>
            <w:vAlign w:val="center"/>
          </w:tcPr>
          <w:p w14:paraId="04D62F03" w14:textId="35CF856C" w:rsidR="0077698F" w:rsidRPr="009E6914" w:rsidRDefault="0077698F" w:rsidP="0077698F">
            <w:pPr>
              <w:spacing w:after="0" w:line="240" w:lineRule="auto"/>
              <w:jc w:val="center"/>
              <w:rPr>
                <w:rFonts w:ascii="Calibri" w:hAnsi="Calibri"/>
                <w:color w:val="000000"/>
                <w:szCs w:val="24"/>
                <w:lang w:eastAsia="en-GB"/>
              </w:rPr>
            </w:pPr>
            <w:r w:rsidRPr="009E6914">
              <w:rPr>
                <w:rFonts w:ascii="Calibri" w:hAnsi="Calibri"/>
                <w:color w:val="000000"/>
                <w:szCs w:val="24"/>
                <w:lang w:eastAsia="en-GB"/>
              </w:rPr>
              <w:t>1525</w:t>
            </w:r>
          </w:p>
        </w:tc>
        <w:tc>
          <w:tcPr>
            <w:tcW w:w="1114" w:type="dxa"/>
            <w:tcBorders>
              <w:top w:val="nil"/>
              <w:left w:val="nil"/>
              <w:bottom w:val="single" w:sz="4" w:space="0" w:color="auto"/>
              <w:right w:val="single" w:sz="4" w:space="0" w:color="auto"/>
            </w:tcBorders>
            <w:noWrap/>
            <w:vAlign w:val="center"/>
          </w:tcPr>
          <w:p w14:paraId="27D63B84" w14:textId="75402EFE" w:rsidR="0077698F" w:rsidRPr="009E6914" w:rsidRDefault="0077698F" w:rsidP="0077698F">
            <w:pPr>
              <w:spacing w:after="0" w:line="240" w:lineRule="auto"/>
              <w:jc w:val="center"/>
              <w:rPr>
                <w:rFonts w:ascii="Calibri" w:hAnsi="Calibri"/>
                <w:color w:val="000000"/>
                <w:szCs w:val="24"/>
                <w:lang w:eastAsia="en-GB"/>
              </w:rPr>
            </w:pPr>
            <w:r w:rsidRPr="009E6914">
              <w:rPr>
                <w:rFonts w:ascii="Calibri" w:hAnsi="Calibri"/>
                <w:color w:val="000000"/>
                <w:szCs w:val="24"/>
                <w:lang w:eastAsia="en-GB"/>
              </w:rPr>
              <w:t>750</w:t>
            </w:r>
          </w:p>
        </w:tc>
        <w:tc>
          <w:tcPr>
            <w:tcW w:w="1147" w:type="dxa"/>
            <w:tcBorders>
              <w:top w:val="nil"/>
              <w:left w:val="nil"/>
              <w:bottom w:val="single" w:sz="4" w:space="0" w:color="auto"/>
              <w:right w:val="single" w:sz="4" w:space="0" w:color="auto"/>
            </w:tcBorders>
            <w:noWrap/>
            <w:vAlign w:val="center"/>
          </w:tcPr>
          <w:p w14:paraId="60B5FDFC" w14:textId="350DA50A" w:rsidR="0077698F" w:rsidRPr="009E6914" w:rsidRDefault="0077698F" w:rsidP="0077698F">
            <w:pPr>
              <w:spacing w:after="0" w:line="240" w:lineRule="auto"/>
              <w:jc w:val="center"/>
              <w:rPr>
                <w:rFonts w:ascii="Calibri" w:hAnsi="Calibri"/>
                <w:color w:val="000000"/>
                <w:szCs w:val="24"/>
                <w:lang w:eastAsia="en-GB"/>
              </w:rPr>
            </w:pPr>
            <w:r w:rsidRPr="009E6914">
              <w:rPr>
                <w:rFonts w:ascii="Calibri" w:hAnsi="Calibri"/>
                <w:color w:val="000000"/>
                <w:szCs w:val="24"/>
                <w:lang w:eastAsia="en-GB"/>
              </w:rPr>
              <w:t>1575</w:t>
            </w:r>
          </w:p>
        </w:tc>
        <w:tc>
          <w:tcPr>
            <w:tcW w:w="2368" w:type="dxa"/>
            <w:tcBorders>
              <w:top w:val="nil"/>
              <w:left w:val="nil"/>
              <w:bottom w:val="single" w:sz="4" w:space="0" w:color="auto"/>
              <w:right w:val="single" w:sz="4" w:space="0" w:color="auto"/>
            </w:tcBorders>
          </w:tcPr>
          <w:p w14:paraId="40DD8DE1" w14:textId="56B3E20C" w:rsidR="0077698F" w:rsidRPr="009E6914" w:rsidRDefault="00F670B9" w:rsidP="00F670B9">
            <w:pPr>
              <w:spacing w:after="0" w:line="240" w:lineRule="auto"/>
              <w:jc w:val="center"/>
              <w:rPr>
                <w:rFonts w:ascii="Calibri" w:hAnsi="Calibri"/>
                <w:color w:val="000000"/>
                <w:szCs w:val="24"/>
                <w:lang w:eastAsia="en-GB"/>
              </w:rPr>
            </w:pPr>
            <w:r w:rsidRPr="009E6914">
              <w:rPr>
                <w:rFonts w:ascii="Calibri" w:hAnsi="Calibri"/>
                <w:color w:val="000000"/>
                <w:szCs w:val="24"/>
                <w:lang w:eastAsia="en-GB"/>
              </w:rPr>
              <w:t>1667</w:t>
            </w:r>
          </w:p>
        </w:tc>
      </w:tr>
      <w:tr w:rsidR="0077698F" w:rsidRPr="009E6914" w14:paraId="5C749478" w14:textId="77777777" w:rsidTr="00FF3E9E">
        <w:trPr>
          <w:trHeight w:val="315"/>
          <w:jc w:val="center"/>
        </w:trPr>
        <w:tc>
          <w:tcPr>
            <w:tcW w:w="3154" w:type="dxa"/>
            <w:tcBorders>
              <w:top w:val="nil"/>
              <w:left w:val="single" w:sz="4" w:space="0" w:color="auto"/>
              <w:bottom w:val="single" w:sz="4" w:space="0" w:color="auto"/>
              <w:right w:val="single" w:sz="4" w:space="0" w:color="auto"/>
            </w:tcBorders>
            <w:noWrap/>
            <w:vAlign w:val="center"/>
          </w:tcPr>
          <w:p w14:paraId="165884AC" w14:textId="77777777" w:rsidR="0077698F" w:rsidRPr="009E6914" w:rsidRDefault="0077698F" w:rsidP="0077698F">
            <w:pPr>
              <w:spacing w:after="0" w:line="240" w:lineRule="auto"/>
              <w:rPr>
                <w:rFonts w:ascii="Calibri" w:hAnsi="Calibri"/>
                <w:color w:val="000000"/>
                <w:szCs w:val="24"/>
                <w:lang w:eastAsia="en-GB"/>
              </w:rPr>
            </w:pPr>
            <w:r w:rsidRPr="009E6914">
              <w:rPr>
                <w:rFonts w:ascii="Calibri" w:hAnsi="Calibri"/>
                <w:color w:val="000000"/>
                <w:szCs w:val="24"/>
                <w:lang w:eastAsia="en-GB"/>
              </w:rPr>
              <w:t xml:space="preserve">Referrals </w:t>
            </w:r>
            <w:r w:rsidRPr="009E6914">
              <w:rPr>
                <w:rFonts w:ascii="Calibri" w:hAnsi="Calibri"/>
                <w:i/>
                <w:iCs/>
                <w:color w:val="000000"/>
                <w:szCs w:val="24"/>
                <w:lang w:eastAsia="en-GB"/>
              </w:rPr>
              <w:t>per month</w:t>
            </w:r>
          </w:p>
        </w:tc>
        <w:tc>
          <w:tcPr>
            <w:tcW w:w="1134" w:type="dxa"/>
            <w:tcBorders>
              <w:top w:val="nil"/>
              <w:left w:val="nil"/>
              <w:bottom w:val="single" w:sz="4" w:space="0" w:color="auto"/>
              <w:right w:val="single" w:sz="4" w:space="0" w:color="auto"/>
            </w:tcBorders>
            <w:noWrap/>
            <w:vAlign w:val="center"/>
          </w:tcPr>
          <w:p w14:paraId="5CE687CF" w14:textId="771462E7" w:rsidR="0077698F" w:rsidRPr="009E6914" w:rsidRDefault="0077698F" w:rsidP="0077698F">
            <w:pPr>
              <w:spacing w:after="0" w:line="240" w:lineRule="auto"/>
              <w:jc w:val="center"/>
              <w:rPr>
                <w:rFonts w:ascii="Calibri" w:hAnsi="Calibri"/>
                <w:color w:val="000000"/>
                <w:szCs w:val="24"/>
                <w:lang w:eastAsia="en-GB"/>
              </w:rPr>
            </w:pPr>
            <w:r w:rsidRPr="009E6914">
              <w:rPr>
                <w:rFonts w:ascii="Calibri" w:hAnsi="Calibri"/>
                <w:color w:val="000000"/>
                <w:szCs w:val="24"/>
                <w:lang w:eastAsia="en-GB"/>
              </w:rPr>
              <w:t>1175</w:t>
            </w:r>
          </w:p>
        </w:tc>
        <w:tc>
          <w:tcPr>
            <w:tcW w:w="1134" w:type="dxa"/>
            <w:tcBorders>
              <w:top w:val="nil"/>
              <w:left w:val="nil"/>
              <w:bottom w:val="single" w:sz="4" w:space="0" w:color="auto"/>
              <w:right w:val="single" w:sz="4" w:space="0" w:color="auto"/>
            </w:tcBorders>
            <w:noWrap/>
            <w:vAlign w:val="center"/>
          </w:tcPr>
          <w:p w14:paraId="12F4FB6D" w14:textId="52BC9B35" w:rsidR="0077698F" w:rsidRPr="009E6914" w:rsidRDefault="0077698F" w:rsidP="0077698F">
            <w:pPr>
              <w:spacing w:after="0" w:line="240" w:lineRule="auto"/>
              <w:jc w:val="center"/>
              <w:rPr>
                <w:rFonts w:ascii="Calibri" w:hAnsi="Calibri"/>
                <w:color w:val="000000"/>
                <w:szCs w:val="24"/>
                <w:lang w:eastAsia="en-GB"/>
              </w:rPr>
            </w:pPr>
            <w:r w:rsidRPr="009E6914">
              <w:rPr>
                <w:rFonts w:ascii="Calibri" w:hAnsi="Calibri"/>
                <w:color w:val="000000"/>
                <w:szCs w:val="24"/>
                <w:lang w:eastAsia="en-GB"/>
              </w:rPr>
              <w:t>1370</w:t>
            </w:r>
          </w:p>
        </w:tc>
        <w:tc>
          <w:tcPr>
            <w:tcW w:w="1114" w:type="dxa"/>
            <w:tcBorders>
              <w:top w:val="nil"/>
              <w:left w:val="nil"/>
              <w:bottom w:val="single" w:sz="4" w:space="0" w:color="auto"/>
              <w:right w:val="single" w:sz="4" w:space="0" w:color="auto"/>
            </w:tcBorders>
            <w:noWrap/>
            <w:vAlign w:val="center"/>
          </w:tcPr>
          <w:p w14:paraId="5B5E354D" w14:textId="61A977DD" w:rsidR="0077698F" w:rsidRPr="009E6914" w:rsidRDefault="0077698F" w:rsidP="0077698F">
            <w:pPr>
              <w:spacing w:after="0" w:line="240" w:lineRule="auto"/>
              <w:jc w:val="center"/>
              <w:rPr>
                <w:rFonts w:ascii="Calibri" w:hAnsi="Calibri"/>
                <w:color w:val="000000"/>
                <w:szCs w:val="24"/>
                <w:lang w:eastAsia="en-GB"/>
              </w:rPr>
            </w:pPr>
            <w:r w:rsidRPr="009E6914">
              <w:rPr>
                <w:rFonts w:ascii="Calibri" w:hAnsi="Calibri"/>
                <w:color w:val="000000"/>
                <w:szCs w:val="24"/>
                <w:lang w:eastAsia="en-GB"/>
              </w:rPr>
              <w:t>1679</w:t>
            </w:r>
          </w:p>
        </w:tc>
        <w:tc>
          <w:tcPr>
            <w:tcW w:w="1147" w:type="dxa"/>
            <w:tcBorders>
              <w:top w:val="nil"/>
              <w:left w:val="nil"/>
              <w:bottom w:val="single" w:sz="4" w:space="0" w:color="auto"/>
              <w:right w:val="single" w:sz="4" w:space="0" w:color="auto"/>
            </w:tcBorders>
            <w:noWrap/>
            <w:vAlign w:val="center"/>
          </w:tcPr>
          <w:p w14:paraId="482FA75C" w14:textId="333FAFF7" w:rsidR="0077698F" w:rsidRPr="009E6914" w:rsidRDefault="0077698F" w:rsidP="0077698F">
            <w:pPr>
              <w:spacing w:after="0" w:line="240" w:lineRule="auto"/>
              <w:jc w:val="center"/>
              <w:rPr>
                <w:rFonts w:ascii="Calibri" w:hAnsi="Calibri"/>
                <w:color w:val="000000"/>
                <w:szCs w:val="24"/>
                <w:lang w:eastAsia="en-GB"/>
              </w:rPr>
            </w:pPr>
            <w:r w:rsidRPr="009E6914">
              <w:rPr>
                <w:rFonts w:ascii="Calibri" w:hAnsi="Calibri"/>
                <w:color w:val="000000"/>
                <w:szCs w:val="24"/>
                <w:lang w:eastAsia="en-GB"/>
              </w:rPr>
              <w:t>868</w:t>
            </w:r>
          </w:p>
        </w:tc>
        <w:tc>
          <w:tcPr>
            <w:tcW w:w="2368" w:type="dxa"/>
            <w:tcBorders>
              <w:top w:val="nil"/>
              <w:left w:val="nil"/>
              <w:bottom w:val="single" w:sz="4" w:space="0" w:color="auto"/>
              <w:right w:val="single" w:sz="4" w:space="0" w:color="auto"/>
            </w:tcBorders>
          </w:tcPr>
          <w:p w14:paraId="67344CD6" w14:textId="1F2C07A5" w:rsidR="0077698F" w:rsidRPr="009E6914" w:rsidRDefault="00F670B9" w:rsidP="0077698F">
            <w:pPr>
              <w:spacing w:after="0" w:line="240" w:lineRule="auto"/>
              <w:jc w:val="center"/>
              <w:rPr>
                <w:rFonts w:ascii="Calibri" w:hAnsi="Calibri"/>
                <w:color w:val="000000"/>
                <w:szCs w:val="24"/>
                <w:lang w:eastAsia="en-GB"/>
              </w:rPr>
            </w:pPr>
            <w:r w:rsidRPr="009E6914">
              <w:rPr>
                <w:rFonts w:ascii="Calibri" w:hAnsi="Calibri"/>
                <w:color w:val="000000"/>
                <w:szCs w:val="24"/>
                <w:lang w:eastAsia="en-GB"/>
              </w:rPr>
              <w:t>939</w:t>
            </w:r>
          </w:p>
        </w:tc>
      </w:tr>
      <w:tr w:rsidR="0077698F" w:rsidRPr="009E6914" w14:paraId="01FF4DC6" w14:textId="77777777" w:rsidTr="00FF3E9E">
        <w:trPr>
          <w:trHeight w:val="315"/>
          <w:jc w:val="center"/>
        </w:trPr>
        <w:tc>
          <w:tcPr>
            <w:tcW w:w="3154" w:type="dxa"/>
            <w:tcBorders>
              <w:top w:val="nil"/>
              <w:left w:val="single" w:sz="4" w:space="0" w:color="auto"/>
              <w:bottom w:val="single" w:sz="4" w:space="0" w:color="auto"/>
              <w:right w:val="single" w:sz="4" w:space="0" w:color="auto"/>
            </w:tcBorders>
            <w:noWrap/>
            <w:vAlign w:val="center"/>
          </w:tcPr>
          <w:p w14:paraId="7F709A8E" w14:textId="77777777" w:rsidR="0077698F" w:rsidRPr="009E6914" w:rsidRDefault="0077698F" w:rsidP="0077698F">
            <w:pPr>
              <w:spacing w:after="0" w:line="240" w:lineRule="auto"/>
              <w:rPr>
                <w:rFonts w:ascii="Calibri" w:hAnsi="Calibri"/>
                <w:color w:val="000000"/>
                <w:szCs w:val="24"/>
                <w:lang w:eastAsia="en-GB"/>
              </w:rPr>
            </w:pPr>
            <w:r w:rsidRPr="009E6914">
              <w:rPr>
                <w:rFonts w:ascii="Calibri" w:hAnsi="Calibri"/>
                <w:color w:val="000000"/>
                <w:szCs w:val="24"/>
                <w:lang w:eastAsia="en-GB"/>
              </w:rPr>
              <w:t>Initial Assessments</w:t>
            </w:r>
          </w:p>
        </w:tc>
        <w:tc>
          <w:tcPr>
            <w:tcW w:w="1134" w:type="dxa"/>
            <w:tcBorders>
              <w:top w:val="nil"/>
              <w:left w:val="nil"/>
              <w:bottom w:val="single" w:sz="4" w:space="0" w:color="auto"/>
              <w:right w:val="single" w:sz="4" w:space="0" w:color="auto"/>
            </w:tcBorders>
            <w:noWrap/>
            <w:vAlign w:val="center"/>
          </w:tcPr>
          <w:p w14:paraId="1DE6270F" w14:textId="35079C33" w:rsidR="0077698F" w:rsidRPr="009E6914" w:rsidRDefault="0077698F" w:rsidP="0077698F">
            <w:pPr>
              <w:spacing w:after="0" w:line="240" w:lineRule="auto"/>
              <w:jc w:val="center"/>
              <w:rPr>
                <w:rFonts w:ascii="Calibri" w:hAnsi="Calibri"/>
                <w:color w:val="000000"/>
                <w:szCs w:val="24"/>
                <w:lang w:eastAsia="en-GB"/>
              </w:rPr>
            </w:pPr>
            <w:r w:rsidRPr="009E6914">
              <w:rPr>
                <w:rFonts w:ascii="Calibri" w:hAnsi="Calibri"/>
                <w:color w:val="000000"/>
                <w:szCs w:val="24"/>
                <w:lang w:eastAsia="en-GB"/>
              </w:rPr>
              <w:t>9891</w:t>
            </w:r>
          </w:p>
        </w:tc>
        <w:tc>
          <w:tcPr>
            <w:tcW w:w="1134" w:type="dxa"/>
            <w:tcBorders>
              <w:top w:val="nil"/>
              <w:left w:val="nil"/>
              <w:bottom w:val="single" w:sz="4" w:space="0" w:color="auto"/>
              <w:right w:val="single" w:sz="4" w:space="0" w:color="auto"/>
            </w:tcBorders>
            <w:noWrap/>
            <w:vAlign w:val="center"/>
          </w:tcPr>
          <w:p w14:paraId="21752C77" w14:textId="62CE752A" w:rsidR="0077698F" w:rsidRPr="009E6914" w:rsidRDefault="0077698F" w:rsidP="0077698F">
            <w:pPr>
              <w:spacing w:after="0" w:line="240" w:lineRule="auto"/>
              <w:jc w:val="center"/>
              <w:rPr>
                <w:rFonts w:ascii="Calibri" w:hAnsi="Calibri"/>
                <w:color w:val="000000"/>
                <w:szCs w:val="24"/>
                <w:lang w:eastAsia="en-GB"/>
              </w:rPr>
            </w:pPr>
            <w:r w:rsidRPr="009E6914">
              <w:rPr>
                <w:rFonts w:ascii="Calibri" w:hAnsi="Calibri"/>
                <w:color w:val="000000"/>
                <w:szCs w:val="24"/>
                <w:lang w:eastAsia="en-GB"/>
              </w:rPr>
              <w:t>11288</w:t>
            </w:r>
          </w:p>
        </w:tc>
        <w:tc>
          <w:tcPr>
            <w:tcW w:w="1114" w:type="dxa"/>
            <w:tcBorders>
              <w:top w:val="nil"/>
              <w:left w:val="nil"/>
              <w:bottom w:val="single" w:sz="4" w:space="0" w:color="auto"/>
              <w:right w:val="single" w:sz="4" w:space="0" w:color="auto"/>
            </w:tcBorders>
            <w:noWrap/>
            <w:vAlign w:val="center"/>
          </w:tcPr>
          <w:p w14:paraId="273785AF" w14:textId="1667E2F4" w:rsidR="0077698F" w:rsidRPr="009E6914" w:rsidRDefault="0077698F" w:rsidP="0077698F">
            <w:pPr>
              <w:spacing w:after="0" w:line="240" w:lineRule="auto"/>
              <w:jc w:val="center"/>
              <w:rPr>
                <w:rFonts w:ascii="Calibri" w:hAnsi="Calibri"/>
                <w:color w:val="000000"/>
                <w:szCs w:val="24"/>
                <w:lang w:eastAsia="en-GB"/>
              </w:rPr>
            </w:pPr>
            <w:r w:rsidRPr="009E6914">
              <w:rPr>
                <w:rFonts w:ascii="Calibri" w:hAnsi="Calibri"/>
                <w:color w:val="000000"/>
                <w:szCs w:val="24"/>
                <w:lang w:eastAsia="en-GB"/>
              </w:rPr>
              <w:t>11865</w:t>
            </w:r>
          </w:p>
        </w:tc>
        <w:tc>
          <w:tcPr>
            <w:tcW w:w="1147" w:type="dxa"/>
            <w:tcBorders>
              <w:top w:val="nil"/>
              <w:left w:val="nil"/>
              <w:bottom w:val="single" w:sz="4" w:space="0" w:color="auto"/>
              <w:right w:val="single" w:sz="4" w:space="0" w:color="auto"/>
            </w:tcBorders>
            <w:noWrap/>
            <w:vAlign w:val="center"/>
          </w:tcPr>
          <w:p w14:paraId="181043BF" w14:textId="4E0C9A92" w:rsidR="0077698F" w:rsidRPr="009E6914" w:rsidRDefault="0077698F" w:rsidP="0077698F">
            <w:pPr>
              <w:spacing w:after="0" w:line="240" w:lineRule="auto"/>
              <w:jc w:val="center"/>
              <w:rPr>
                <w:rFonts w:ascii="Calibri" w:hAnsi="Calibri"/>
                <w:color w:val="000000"/>
                <w:szCs w:val="24"/>
                <w:lang w:eastAsia="en-GB"/>
              </w:rPr>
            </w:pPr>
            <w:r w:rsidRPr="009E6914">
              <w:rPr>
                <w:rFonts w:ascii="Calibri" w:hAnsi="Calibri"/>
                <w:color w:val="000000"/>
                <w:szCs w:val="24"/>
                <w:lang w:eastAsia="en-GB"/>
              </w:rPr>
              <w:t>-</w:t>
            </w:r>
          </w:p>
        </w:tc>
        <w:tc>
          <w:tcPr>
            <w:tcW w:w="2368" w:type="dxa"/>
            <w:tcBorders>
              <w:top w:val="single" w:sz="4" w:space="0" w:color="auto"/>
              <w:left w:val="nil"/>
              <w:bottom w:val="single" w:sz="4" w:space="0" w:color="auto"/>
              <w:right w:val="single" w:sz="4" w:space="0" w:color="auto"/>
            </w:tcBorders>
            <w:shd w:val="clear" w:color="auto" w:fill="F2F2F2"/>
          </w:tcPr>
          <w:p w14:paraId="4303C091" w14:textId="67B0AFDA" w:rsidR="0077698F" w:rsidRPr="009E6914" w:rsidRDefault="0077698F" w:rsidP="0077698F">
            <w:pPr>
              <w:spacing w:after="0" w:line="240" w:lineRule="auto"/>
              <w:jc w:val="center"/>
              <w:rPr>
                <w:rFonts w:ascii="Calibri" w:hAnsi="Calibri"/>
                <w:color w:val="000000"/>
                <w:szCs w:val="24"/>
                <w:lang w:eastAsia="en-GB"/>
              </w:rPr>
            </w:pPr>
          </w:p>
        </w:tc>
      </w:tr>
      <w:tr w:rsidR="0077698F" w:rsidRPr="009E6914" w14:paraId="44565396" w14:textId="77777777" w:rsidTr="00FF3E9E">
        <w:trPr>
          <w:trHeight w:val="315"/>
          <w:jc w:val="center"/>
        </w:trPr>
        <w:tc>
          <w:tcPr>
            <w:tcW w:w="3154" w:type="dxa"/>
            <w:tcBorders>
              <w:top w:val="single" w:sz="4" w:space="0" w:color="auto"/>
              <w:left w:val="single" w:sz="4" w:space="0" w:color="auto"/>
              <w:bottom w:val="single" w:sz="4" w:space="0" w:color="auto"/>
              <w:right w:val="single" w:sz="4" w:space="0" w:color="auto"/>
            </w:tcBorders>
            <w:noWrap/>
            <w:vAlign w:val="center"/>
          </w:tcPr>
          <w:p w14:paraId="3A576944" w14:textId="77777777" w:rsidR="0077698F" w:rsidRPr="009E6914" w:rsidRDefault="0077698F" w:rsidP="0077698F">
            <w:pPr>
              <w:spacing w:after="0" w:line="240" w:lineRule="auto"/>
              <w:rPr>
                <w:rFonts w:ascii="Calibri" w:hAnsi="Calibri"/>
                <w:color w:val="000000"/>
                <w:szCs w:val="24"/>
                <w:lang w:eastAsia="en-GB"/>
              </w:rPr>
            </w:pPr>
            <w:r w:rsidRPr="009E6914">
              <w:rPr>
                <w:rFonts w:ascii="Calibri" w:hAnsi="Calibri"/>
                <w:color w:val="000000"/>
                <w:szCs w:val="24"/>
                <w:lang w:eastAsia="en-GB"/>
              </w:rPr>
              <w:t>Core Assessments</w:t>
            </w:r>
          </w:p>
        </w:tc>
        <w:tc>
          <w:tcPr>
            <w:tcW w:w="1134" w:type="dxa"/>
            <w:tcBorders>
              <w:top w:val="single" w:sz="4" w:space="0" w:color="auto"/>
              <w:left w:val="nil"/>
              <w:bottom w:val="single" w:sz="4" w:space="0" w:color="auto"/>
              <w:right w:val="single" w:sz="4" w:space="0" w:color="auto"/>
            </w:tcBorders>
            <w:noWrap/>
            <w:vAlign w:val="center"/>
          </w:tcPr>
          <w:p w14:paraId="466E225B" w14:textId="2221016B" w:rsidR="0077698F" w:rsidRPr="009E6914" w:rsidRDefault="0077698F" w:rsidP="0077698F">
            <w:pPr>
              <w:spacing w:after="0" w:line="240" w:lineRule="auto"/>
              <w:jc w:val="center"/>
              <w:rPr>
                <w:rFonts w:ascii="Calibri" w:hAnsi="Calibri"/>
                <w:color w:val="000000"/>
                <w:szCs w:val="24"/>
                <w:lang w:eastAsia="en-GB"/>
              </w:rPr>
            </w:pPr>
            <w:r w:rsidRPr="009E6914">
              <w:rPr>
                <w:rFonts w:ascii="Calibri" w:hAnsi="Calibri"/>
                <w:color w:val="000000"/>
                <w:szCs w:val="24"/>
                <w:lang w:eastAsia="en-GB"/>
              </w:rPr>
              <w:t>5019</w:t>
            </w:r>
          </w:p>
        </w:tc>
        <w:tc>
          <w:tcPr>
            <w:tcW w:w="1134" w:type="dxa"/>
            <w:tcBorders>
              <w:top w:val="single" w:sz="4" w:space="0" w:color="auto"/>
              <w:left w:val="nil"/>
              <w:bottom w:val="single" w:sz="4" w:space="0" w:color="auto"/>
              <w:right w:val="single" w:sz="4" w:space="0" w:color="auto"/>
            </w:tcBorders>
            <w:noWrap/>
            <w:vAlign w:val="center"/>
          </w:tcPr>
          <w:p w14:paraId="0A28E6F0" w14:textId="32DB5DAF" w:rsidR="0077698F" w:rsidRPr="009E6914" w:rsidRDefault="0077698F" w:rsidP="0077698F">
            <w:pPr>
              <w:spacing w:after="0" w:line="240" w:lineRule="auto"/>
              <w:jc w:val="center"/>
              <w:rPr>
                <w:rFonts w:ascii="Calibri" w:hAnsi="Calibri"/>
                <w:color w:val="000000"/>
                <w:szCs w:val="24"/>
                <w:lang w:eastAsia="en-GB"/>
              </w:rPr>
            </w:pPr>
            <w:r w:rsidRPr="009E6914">
              <w:rPr>
                <w:rFonts w:ascii="Calibri" w:hAnsi="Calibri"/>
                <w:color w:val="000000"/>
                <w:szCs w:val="24"/>
                <w:lang w:eastAsia="en-GB"/>
              </w:rPr>
              <w:t>5901</w:t>
            </w:r>
          </w:p>
        </w:tc>
        <w:tc>
          <w:tcPr>
            <w:tcW w:w="1114" w:type="dxa"/>
            <w:tcBorders>
              <w:top w:val="single" w:sz="4" w:space="0" w:color="auto"/>
              <w:left w:val="nil"/>
              <w:bottom w:val="single" w:sz="4" w:space="0" w:color="auto"/>
              <w:right w:val="single" w:sz="4" w:space="0" w:color="auto"/>
            </w:tcBorders>
            <w:noWrap/>
            <w:vAlign w:val="center"/>
          </w:tcPr>
          <w:p w14:paraId="5E302B8D" w14:textId="096D470A" w:rsidR="0077698F" w:rsidRPr="009E6914" w:rsidRDefault="0077698F" w:rsidP="0077698F">
            <w:pPr>
              <w:spacing w:after="0" w:line="240" w:lineRule="auto"/>
              <w:jc w:val="center"/>
              <w:rPr>
                <w:rFonts w:ascii="Calibri" w:hAnsi="Calibri"/>
                <w:color w:val="000000"/>
                <w:szCs w:val="24"/>
                <w:lang w:eastAsia="en-GB"/>
              </w:rPr>
            </w:pPr>
            <w:r w:rsidRPr="009E6914">
              <w:rPr>
                <w:rFonts w:ascii="Calibri" w:hAnsi="Calibri"/>
                <w:color w:val="000000"/>
                <w:szCs w:val="24"/>
                <w:lang w:eastAsia="en-GB"/>
              </w:rPr>
              <w:t>5724</w:t>
            </w:r>
          </w:p>
        </w:tc>
        <w:tc>
          <w:tcPr>
            <w:tcW w:w="1147" w:type="dxa"/>
            <w:tcBorders>
              <w:top w:val="single" w:sz="4" w:space="0" w:color="auto"/>
              <w:left w:val="nil"/>
              <w:bottom w:val="single" w:sz="4" w:space="0" w:color="auto"/>
              <w:right w:val="single" w:sz="4" w:space="0" w:color="auto"/>
            </w:tcBorders>
            <w:noWrap/>
            <w:vAlign w:val="center"/>
          </w:tcPr>
          <w:p w14:paraId="79039A0F" w14:textId="112793C2" w:rsidR="0077698F" w:rsidRPr="009E6914" w:rsidRDefault="0077698F" w:rsidP="0077698F">
            <w:pPr>
              <w:spacing w:after="0" w:line="240" w:lineRule="auto"/>
              <w:jc w:val="center"/>
              <w:rPr>
                <w:rFonts w:ascii="Calibri" w:hAnsi="Calibri"/>
                <w:color w:val="000000"/>
                <w:szCs w:val="24"/>
                <w:lang w:eastAsia="en-GB"/>
              </w:rPr>
            </w:pPr>
            <w:r w:rsidRPr="009E6914">
              <w:rPr>
                <w:rFonts w:ascii="Calibri" w:hAnsi="Calibri"/>
                <w:color w:val="000000"/>
                <w:szCs w:val="24"/>
                <w:lang w:eastAsia="en-GB"/>
              </w:rPr>
              <w:t>-</w:t>
            </w:r>
          </w:p>
        </w:tc>
        <w:tc>
          <w:tcPr>
            <w:tcW w:w="2368" w:type="dxa"/>
            <w:tcBorders>
              <w:top w:val="single" w:sz="4" w:space="0" w:color="auto"/>
              <w:left w:val="nil"/>
              <w:bottom w:val="single" w:sz="4" w:space="0" w:color="auto"/>
              <w:right w:val="single" w:sz="4" w:space="0" w:color="auto"/>
            </w:tcBorders>
            <w:shd w:val="clear" w:color="auto" w:fill="F2F2F2"/>
          </w:tcPr>
          <w:p w14:paraId="1A3A297D" w14:textId="005723BA" w:rsidR="0077698F" w:rsidRPr="009E6914" w:rsidRDefault="0077698F" w:rsidP="0077698F">
            <w:pPr>
              <w:spacing w:after="0" w:line="240" w:lineRule="auto"/>
              <w:jc w:val="center"/>
              <w:rPr>
                <w:rFonts w:ascii="Calibri" w:hAnsi="Calibri"/>
                <w:color w:val="000000"/>
                <w:szCs w:val="24"/>
                <w:lang w:eastAsia="en-GB"/>
              </w:rPr>
            </w:pPr>
          </w:p>
        </w:tc>
      </w:tr>
      <w:tr w:rsidR="0077698F" w:rsidRPr="009E6914" w14:paraId="39296856" w14:textId="77777777" w:rsidTr="00FF3E9E">
        <w:trPr>
          <w:trHeight w:val="315"/>
          <w:jc w:val="center"/>
        </w:trPr>
        <w:tc>
          <w:tcPr>
            <w:tcW w:w="3154" w:type="dxa"/>
            <w:tcBorders>
              <w:top w:val="single" w:sz="4" w:space="0" w:color="auto"/>
              <w:left w:val="single" w:sz="4" w:space="0" w:color="auto"/>
              <w:bottom w:val="single" w:sz="4" w:space="0" w:color="auto"/>
              <w:right w:val="single" w:sz="4" w:space="0" w:color="auto"/>
            </w:tcBorders>
            <w:noWrap/>
            <w:vAlign w:val="center"/>
          </w:tcPr>
          <w:p w14:paraId="3ED17DA8" w14:textId="77777777" w:rsidR="0077698F" w:rsidRPr="009E6914" w:rsidRDefault="0077698F" w:rsidP="0077698F">
            <w:pPr>
              <w:spacing w:after="0" w:line="240" w:lineRule="auto"/>
              <w:rPr>
                <w:rFonts w:ascii="Calibri" w:hAnsi="Calibri"/>
                <w:color w:val="000000"/>
                <w:szCs w:val="24"/>
                <w:lang w:eastAsia="en-GB"/>
              </w:rPr>
            </w:pPr>
            <w:r w:rsidRPr="009E6914">
              <w:rPr>
                <w:rFonts w:ascii="Calibri" w:hAnsi="Calibri"/>
                <w:color w:val="000000"/>
                <w:szCs w:val="24"/>
                <w:lang w:eastAsia="en-GB"/>
              </w:rPr>
              <w:t xml:space="preserve">Single Assessment </w:t>
            </w:r>
            <w:r w:rsidRPr="009E6914">
              <w:rPr>
                <w:rFonts w:ascii="Calibri" w:hAnsi="Calibri"/>
                <w:i/>
                <w:iCs/>
                <w:color w:val="000000"/>
                <w:szCs w:val="24"/>
                <w:lang w:eastAsia="en-GB"/>
              </w:rPr>
              <w:t>per month</w:t>
            </w:r>
          </w:p>
        </w:tc>
        <w:tc>
          <w:tcPr>
            <w:tcW w:w="1134" w:type="dxa"/>
            <w:tcBorders>
              <w:top w:val="single" w:sz="4" w:space="0" w:color="auto"/>
              <w:left w:val="nil"/>
              <w:bottom w:val="single" w:sz="4" w:space="0" w:color="auto"/>
              <w:right w:val="single" w:sz="4" w:space="0" w:color="auto"/>
            </w:tcBorders>
            <w:shd w:val="clear" w:color="auto" w:fill="F2F2F2"/>
            <w:noWrap/>
            <w:vAlign w:val="center"/>
          </w:tcPr>
          <w:p w14:paraId="05CE598C" w14:textId="2121EA68" w:rsidR="0077698F" w:rsidRPr="009E6914" w:rsidRDefault="0077698F" w:rsidP="0077698F">
            <w:pPr>
              <w:spacing w:after="0" w:line="240" w:lineRule="auto"/>
              <w:jc w:val="center"/>
              <w:rPr>
                <w:rFonts w:ascii="Calibri" w:hAnsi="Calibri"/>
                <w:color w:val="000000"/>
                <w:szCs w:val="24"/>
                <w:lang w:eastAsia="en-GB"/>
              </w:rPr>
            </w:pPr>
            <w:r w:rsidRPr="009E6914">
              <w:rPr>
                <w:rFonts w:ascii="Calibri" w:hAnsi="Calibri"/>
                <w:color w:val="000000"/>
                <w:szCs w:val="24"/>
                <w:lang w:eastAsia="en-GB"/>
              </w:rPr>
              <w:t>--</w:t>
            </w:r>
          </w:p>
        </w:tc>
        <w:tc>
          <w:tcPr>
            <w:tcW w:w="1134" w:type="dxa"/>
            <w:tcBorders>
              <w:top w:val="single" w:sz="4" w:space="0" w:color="auto"/>
              <w:left w:val="nil"/>
              <w:bottom w:val="single" w:sz="4" w:space="0" w:color="auto"/>
              <w:right w:val="single" w:sz="4" w:space="0" w:color="auto"/>
            </w:tcBorders>
            <w:shd w:val="clear" w:color="auto" w:fill="F2F2F2"/>
            <w:noWrap/>
            <w:vAlign w:val="center"/>
          </w:tcPr>
          <w:p w14:paraId="584DF639" w14:textId="162EBEED" w:rsidR="0077698F" w:rsidRPr="009E6914" w:rsidRDefault="0077698F" w:rsidP="0077698F">
            <w:pPr>
              <w:spacing w:after="0" w:line="240" w:lineRule="auto"/>
              <w:jc w:val="center"/>
              <w:rPr>
                <w:rFonts w:ascii="Calibri" w:hAnsi="Calibri"/>
                <w:color w:val="000000"/>
                <w:szCs w:val="24"/>
                <w:lang w:eastAsia="en-GB"/>
              </w:rPr>
            </w:pPr>
            <w:r w:rsidRPr="009E6914">
              <w:rPr>
                <w:rFonts w:ascii="Calibri" w:hAnsi="Calibri"/>
                <w:color w:val="000000"/>
                <w:szCs w:val="24"/>
                <w:lang w:eastAsia="en-GB"/>
              </w:rPr>
              <w:t>--</w:t>
            </w:r>
          </w:p>
        </w:tc>
        <w:tc>
          <w:tcPr>
            <w:tcW w:w="1114" w:type="dxa"/>
            <w:tcBorders>
              <w:top w:val="single" w:sz="4" w:space="0" w:color="auto"/>
              <w:left w:val="nil"/>
              <w:bottom w:val="single" w:sz="4" w:space="0" w:color="auto"/>
              <w:right w:val="single" w:sz="4" w:space="0" w:color="auto"/>
            </w:tcBorders>
            <w:shd w:val="clear" w:color="auto" w:fill="F2F2F2"/>
            <w:noWrap/>
            <w:vAlign w:val="center"/>
          </w:tcPr>
          <w:p w14:paraId="41EBC28C" w14:textId="55A70118" w:rsidR="0077698F" w:rsidRPr="009E6914" w:rsidRDefault="0077698F" w:rsidP="0077698F">
            <w:pPr>
              <w:spacing w:after="0" w:line="240" w:lineRule="auto"/>
              <w:jc w:val="center"/>
              <w:rPr>
                <w:rFonts w:ascii="Calibri" w:hAnsi="Calibri"/>
                <w:color w:val="000000"/>
                <w:szCs w:val="24"/>
                <w:lang w:eastAsia="en-GB"/>
              </w:rPr>
            </w:pPr>
            <w:r w:rsidRPr="009E6914">
              <w:rPr>
                <w:rFonts w:ascii="Calibri" w:hAnsi="Calibri"/>
                <w:color w:val="000000"/>
                <w:szCs w:val="24"/>
                <w:lang w:eastAsia="en-GB"/>
              </w:rPr>
              <w:t>--</w:t>
            </w:r>
          </w:p>
        </w:tc>
        <w:tc>
          <w:tcPr>
            <w:tcW w:w="1147" w:type="dxa"/>
            <w:tcBorders>
              <w:top w:val="single" w:sz="4" w:space="0" w:color="auto"/>
              <w:left w:val="nil"/>
              <w:bottom w:val="single" w:sz="4" w:space="0" w:color="auto"/>
              <w:right w:val="single" w:sz="4" w:space="0" w:color="auto"/>
            </w:tcBorders>
            <w:shd w:val="clear" w:color="auto" w:fill="F2F2F2"/>
            <w:noWrap/>
            <w:vAlign w:val="center"/>
          </w:tcPr>
          <w:p w14:paraId="0C934689" w14:textId="67814779" w:rsidR="0077698F" w:rsidRPr="009E6914" w:rsidRDefault="0077698F" w:rsidP="0077698F">
            <w:pPr>
              <w:spacing w:after="0" w:line="240" w:lineRule="auto"/>
              <w:jc w:val="center"/>
              <w:rPr>
                <w:rFonts w:ascii="Calibri" w:hAnsi="Calibri"/>
                <w:color w:val="000000"/>
                <w:szCs w:val="24"/>
                <w:lang w:eastAsia="en-GB"/>
              </w:rPr>
            </w:pPr>
            <w:r w:rsidRPr="009E6914">
              <w:rPr>
                <w:rFonts w:ascii="Calibri" w:hAnsi="Calibri"/>
                <w:color w:val="000000"/>
                <w:szCs w:val="24"/>
                <w:lang w:eastAsia="en-GB"/>
              </w:rPr>
              <w:t>1088</w:t>
            </w:r>
          </w:p>
        </w:tc>
        <w:tc>
          <w:tcPr>
            <w:tcW w:w="2368" w:type="dxa"/>
            <w:tcBorders>
              <w:top w:val="single" w:sz="4" w:space="0" w:color="auto"/>
              <w:left w:val="nil"/>
              <w:bottom w:val="single" w:sz="4" w:space="0" w:color="auto"/>
              <w:right w:val="single" w:sz="4" w:space="0" w:color="auto"/>
            </w:tcBorders>
          </w:tcPr>
          <w:p w14:paraId="0905A8CD" w14:textId="368964F6" w:rsidR="0077698F" w:rsidRPr="009E6914" w:rsidRDefault="0077698F" w:rsidP="00F670B9">
            <w:pPr>
              <w:spacing w:after="0" w:line="240" w:lineRule="auto"/>
              <w:jc w:val="center"/>
              <w:rPr>
                <w:rFonts w:ascii="Calibri" w:hAnsi="Calibri"/>
                <w:color w:val="000000"/>
                <w:szCs w:val="24"/>
                <w:lang w:eastAsia="en-GB"/>
              </w:rPr>
            </w:pPr>
            <w:r w:rsidRPr="009E6914">
              <w:rPr>
                <w:rFonts w:ascii="Calibri" w:hAnsi="Calibri"/>
                <w:color w:val="000000"/>
                <w:szCs w:val="24"/>
                <w:lang w:eastAsia="en-GB"/>
              </w:rPr>
              <w:t>1</w:t>
            </w:r>
            <w:r w:rsidR="00F670B9" w:rsidRPr="009E6914">
              <w:rPr>
                <w:rFonts w:ascii="Calibri" w:hAnsi="Calibri"/>
                <w:color w:val="000000"/>
                <w:szCs w:val="24"/>
                <w:lang w:eastAsia="en-GB"/>
              </w:rPr>
              <w:t>158</w:t>
            </w:r>
          </w:p>
        </w:tc>
      </w:tr>
    </w:tbl>
    <w:p w14:paraId="04947700" w14:textId="77777777" w:rsidR="00FB4407" w:rsidRPr="009E6914" w:rsidRDefault="00FB4407" w:rsidP="002A3CB0">
      <w:pPr>
        <w:spacing w:before="120" w:after="120" w:line="288" w:lineRule="auto"/>
        <w:rPr>
          <w:rStyle w:val="SubtleReference"/>
        </w:rPr>
      </w:pPr>
      <w:r w:rsidRPr="009E6914">
        <w:rPr>
          <w:rStyle w:val="SubtleReference"/>
        </w:rPr>
        <w:t>Comments:</w:t>
      </w:r>
    </w:p>
    <w:p w14:paraId="4EA5E09D" w14:textId="77777777" w:rsidR="00FB4407" w:rsidRPr="009E6914" w:rsidRDefault="00FB4407" w:rsidP="00EE5641">
      <w:pPr>
        <w:pStyle w:val="ListParagraph"/>
        <w:numPr>
          <w:ilvl w:val="0"/>
          <w:numId w:val="19"/>
        </w:numPr>
        <w:spacing w:before="120" w:after="120" w:line="288" w:lineRule="auto"/>
        <w:jc w:val="both"/>
        <w:rPr>
          <w:sz w:val="22"/>
        </w:rPr>
      </w:pPr>
      <w:r w:rsidRPr="009E6914">
        <w:rPr>
          <w:sz w:val="22"/>
        </w:rPr>
        <w:t xml:space="preserve">Since the introduction of the Multi-Agency Safeguarding Hub (MASH) in April 2013, a large number of contacts from the Police have been passed to MASH rather than going through Care Connect. </w:t>
      </w:r>
    </w:p>
    <w:p w14:paraId="4CA6C7EB" w14:textId="174B2FAD" w:rsidR="00FB4407" w:rsidRPr="009E6914" w:rsidRDefault="00FB4407" w:rsidP="00EE5641">
      <w:pPr>
        <w:pStyle w:val="ListParagraph"/>
        <w:numPr>
          <w:ilvl w:val="0"/>
          <w:numId w:val="19"/>
        </w:numPr>
        <w:spacing w:before="120" w:after="120" w:line="288" w:lineRule="auto"/>
        <w:jc w:val="both"/>
        <w:rPr>
          <w:sz w:val="22"/>
        </w:rPr>
      </w:pPr>
      <w:r w:rsidRPr="009E6914">
        <w:rPr>
          <w:sz w:val="22"/>
        </w:rPr>
        <w:t>From 1</w:t>
      </w:r>
      <w:r w:rsidRPr="009E6914">
        <w:rPr>
          <w:sz w:val="22"/>
          <w:vertAlign w:val="superscript"/>
        </w:rPr>
        <w:t>st</w:t>
      </w:r>
      <w:r w:rsidRPr="009E6914">
        <w:rPr>
          <w:sz w:val="22"/>
        </w:rPr>
        <w:t xml:space="preserve"> April 2014, contacts</w:t>
      </w:r>
      <w:r w:rsidR="0077698F" w:rsidRPr="009E6914">
        <w:rPr>
          <w:sz w:val="22"/>
        </w:rPr>
        <w:t xml:space="preserve"> and referrals</w:t>
      </w:r>
      <w:r w:rsidRPr="009E6914">
        <w:rPr>
          <w:sz w:val="22"/>
        </w:rPr>
        <w:t xml:space="preserve"> were counted </w:t>
      </w:r>
      <w:r w:rsidR="00A118CA" w:rsidRPr="009E6914">
        <w:rPr>
          <w:sz w:val="22"/>
        </w:rPr>
        <w:t>differently</w:t>
      </w:r>
      <w:r w:rsidRPr="009E6914">
        <w:rPr>
          <w:sz w:val="22"/>
        </w:rPr>
        <w:t xml:space="preserve"> hence the number of contacts are not comparable to previous years.</w:t>
      </w:r>
    </w:p>
    <w:p w14:paraId="355056E4" w14:textId="134E29CA" w:rsidR="00FB4407" w:rsidRPr="009E6914" w:rsidRDefault="00FB4407" w:rsidP="00762001">
      <w:pPr>
        <w:pStyle w:val="ListParagraph"/>
        <w:numPr>
          <w:ilvl w:val="0"/>
          <w:numId w:val="19"/>
        </w:numPr>
        <w:spacing w:before="120" w:after="120" w:line="288" w:lineRule="auto"/>
        <w:jc w:val="both"/>
        <w:rPr>
          <w:sz w:val="22"/>
        </w:rPr>
      </w:pPr>
      <w:r w:rsidRPr="009E6914">
        <w:rPr>
          <w:sz w:val="22"/>
        </w:rPr>
        <w:t>From 1</w:t>
      </w:r>
      <w:r w:rsidRPr="009E6914">
        <w:rPr>
          <w:sz w:val="22"/>
          <w:vertAlign w:val="superscript"/>
        </w:rPr>
        <w:t>st</w:t>
      </w:r>
      <w:r w:rsidRPr="009E6914">
        <w:rPr>
          <w:sz w:val="22"/>
        </w:rPr>
        <w:t xml:space="preserve"> April 2014 initial and core assessments were discontinued and the new single assessment was introduced. The first </w:t>
      </w:r>
      <w:r w:rsidR="0077698F" w:rsidRPr="009E6914">
        <w:rPr>
          <w:sz w:val="22"/>
        </w:rPr>
        <w:t>year shows an average of 1088 assessments started per month.</w:t>
      </w:r>
    </w:p>
    <w:p w14:paraId="61017C49" w14:textId="5D80125B" w:rsidR="0077698F" w:rsidRPr="009E6914" w:rsidRDefault="0077698F" w:rsidP="00762001">
      <w:pPr>
        <w:pStyle w:val="ListParagraph"/>
        <w:numPr>
          <w:ilvl w:val="0"/>
          <w:numId w:val="19"/>
        </w:numPr>
        <w:spacing w:before="120" w:after="120" w:line="288" w:lineRule="auto"/>
        <w:jc w:val="both"/>
        <w:rPr>
          <w:sz w:val="22"/>
        </w:rPr>
      </w:pPr>
      <w:r w:rsidRPr="009E6914">
        <w:rPr>
          <w:sz w:val="22"/>
        </w:rPr>
        <w:t>A focus on early intervention could explain the rise in contacts but the reduction in referrals.</w:t>
      </w:r>
    </w:p>
    <w:p w14:paraId="66223E78" w14:textId="77777777" w:rsidR="00FB4407" w:rsidRPr="009E6914" w:rsidRDefault="00FB4407" w:rsidP="000C5EE1">
      <w:pPr>
        <w:spacing w:before="120" w:after="120" w:line="288" w:lineRule="auto"/>
        <w:jc w:val="both"/>
        <w:rPr>
          <w:sz w:val="22"/>
        </w:rPr>
      </w:pPr>
    </w:p>
    <w:p w14:paraId="4AC37309" w14:textId="77777777" w:rsidR="00FB4407" w:rsidRPr="009E6914" w:rsidRDefault="00FB4407" w:rsidP="00A876BB">
      <w:pPr>
        <w:spacing w:after="120" w:line="288" w:lineRule="auto"/>
        <w:rPr>
          <w:rStyle w:val="IntenseReference"/>
        </w:rPr>
      </w:pPr>
      <w:r w:rsidRPr="009E6914">
        <w:rPr>
          <w:rStyle w:val="IntenseReference"/>
        </w:rPr>
        <w:t>Re-Referral Rate</w:t>
      </w:r>
    </w:p>
    <w:p w14:paraId="4720FA42" w14:textId="77777777" w:rsidR="00FB4407" w:rsidRPr="009E6914" w:rsidRDefault="00FB4407" w:rsidP="00177514">
      <w:pPr>
        <w:spacing w:before="120" w:after="120" w:line="288" w:lineRule="auto"/>
        <w:jc w:val="both"/>
        <w:rPr>
          <w:sz w:val="22"/>
        </w:rPr>
      </w:pPr>
      <w:r w:rsidRPr="009E6914">
        <w:rPr>
          <w:sz w:val="22"/>
        </w:rPr>
        <w:t>A number of referrals that the authority receives are re-referrals; that is a child or young person has been referred to Children's Social Care once and is being referred again.</w:t>
      </w:r>
    </w:p>
    <w:p w14:paraId="572D9595" w14:textId="77777777" w:rsidR="00FB4407" w:rsidRPr="009E6914" w:rsidRDefault="00FB4407" w:rsidP="006423F1">
      <w:pPr>
        <w:pStyle w:val="ListParagraph"/>
        <w:numPr>
          <w:ilvl w:val="0"/>
          <w:numId w:val="6"/>
        </w:numPr>
        <w:spacing w:before="120" w:after="120" w:line="288" w:lineRule="auto"/>
        <w:jc w:val="both"/>
        <w:rPr>
          <w:sz w:val="22"/>
        </w:rPr>
      </w:pPr>
      <w:r w:rsidRPr="009E6914">
        <w:rPr>
          <w:sz w:val="22"/>
        </w:rPr>
        <w:t>Re-referral rates have historically declined which was considered good performance</w:t>
      </w:r>
    </w:p>
    <w:p w14:paraId="0AD06CA5" w14:textId="7DBCCCB3" w:rsidR="00FB4407" w:rsidRPr="009E6914" w:rsidRDefault="00FB4407" w:rsidP="00E54FCC">
      <w:pPr>
        <w:pStyle w:val="ListParagraph"/>
        <w:numPr>
          <w:ilvl w:val="0"/>
          <w:numId w:val="6"/>
        </w:numPr>
        <w:spacing w:before="120" w:after="120" w:line="288" w:lineRule="auto"/>
        <w:jc w:val="both"/>
        <w:rPr>
          <w:sz w:val="22"/>
        </w:rPr>
      </w:pPr>
      <w:r w:rsidRPr="009E6914">
        <w:rPr>
          <w:sz w:val="22"/>
        </w:rPr>
        <w:t>Average re-referral rate for 201</w:t>
      </w:r>
      <w:r w:rsidR="00BB232E" w:rsidRPr="009E6914">
        <w:rPr>
          <w:sz w:val="22"/>
        </w:rPr>
        <w:t>4/15</w:t>
      </w:r>
      <w:r w:rsidRPr="009E6914">
        <w:rPr>
          <w:sz w:val="22"/>
        </w:rPr>
        <w:t xml:space="preserve"> </w:t>
      </w:r>
      <w:r w:rsidR="00BB232E" w:rsidRPr="009E6914">
        <w:rPr>
          <w:sz w:val="22"/>
        </w:rPr>
        <w:t>decreased</w:t>
      </w:r>
      <w:r w:rsidRPr="009E6914">
        <w:rPr>
          <w:sz w:val="22"/>
        </w:rPr>
        <w:t xml:space="preserve"> to </w:t>
      </w:r>
      <w:r w:rsidR="00BB232E" w:rsidRPr="009E6914">
        <w:rPr>
          <w:b/>
          <w:sz w:val="22"/>
        </w:rPr>
        <w:t>less than 18</w:t>
      </w:r>
      <w:r w:rsidRPr="009E6914">
        <w:rPr>
          <w:sz w:val="22"/>
        </w:rPr>
        <w:t xml:space="preserve"> re-referrals out of each 100 referrals received</w:t>
      </w:r>
      <w:r w:rsidR="00F9438A" w:rsidRPr="009E6914">
        <w:rPr>
          <w:sz w:val="22"/>
        </w:rPr>
        <w:t>.</w:t>
      </w:r>
    </w:p>
    <w:p w14:paraId="78E49E8D" w14:textId="0A111DEA" w:rsidR="00FB4407" w:rsidRPr="00335C79" w:rsidRDefault="009E6914" w:rsidP="009958C7">
      <w:pPr>
        <w:pStyle w:val="ListParagraph"/>
        <w:spacing w:before="120" w:after="120" w:line="288" w:lineRule="auto"/>
        <w:ind w:left="0"/>
        <w:jc w:val="center"/>
        <w:rPr>
          <w:sz w:val="22"/>
          <w:highlight w:val="yellow"/>
        </w:rPr>
      </w:pPr>
      <w:r>
        <w:rPr>
          <w:noProof/>
          <w:lang w:eastAsia="en-GB"/>
        </w:rPr>
        <w:drawing>
          <wp:inline distT="0" distB="0" distL="0" distR="0" wp14:anchorId="4DB5507B" wp14:editId="695E350F">
            <wp:extent cx="5976620" cy="2858135"/>
            <wp:effectExtent l="0" t="0" r="5080" b="184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5A3724B" w14:textId="77777777" w:rsidR="00FB4407" w:rsidRPr="009E6914" w:rsidRDefault="00FB4407" w:rsidP="00266D75">
      <w:pPr>
        <w:spacing w:after="120" w:line="288" w:lineRule="auto"/>
        <w:rPr>
          <w:rStyle w:val="SubtleReference"/>
        </w:rPr>
      </w:pPr>
      <w:r w:rsidRPr="009E6914">
        <w:rPr>
          <w:rStyle w:val="SubtleReference"/>
        </w:rPr>
        <w:lastRenderedPageBreak/>
        <w:t>Comments:</w:t>
      </w:r>
    </w:p>
    <w:p w14:paraId="1A6496D1" w14:textId="1689B618" w:rsidR="008B3909" w:rsidRPr="009E6914" w:rsidRDefault="008B3909" w:rsidP="00266D75">
      <w:pPr>
        <w:pStyle w:val="ListParagraph"/>
        <w:numPr>
          <w:ilvl w:val="0"/>
          <w:numId w:val="29"/>
        </w:numPr>
        <w:spacing w:before="120" w:after="120" w:line="288" w:lineRule="auto"/>
        <w:jc w:val="both"/>
        <w:rPr>
          <w:sz w:val="22"/>
        </w:rPr>
      </w:pPr>
      <w:r w:rsidRPr="009E6914">
        <w:rPr>
          <w:sz w:val="22"/>
        </w:rPr>
        <w:t xml:space="preserve">The re-referral rate has been calculated </w:t>
      </w:r>
      <w:r w:rsidR="00BB232E" w:rsidRPr="009E6914">
        <w:rPr>
          <w:sz w:val="22"/>
        </w:rPr>
        <w:t>differently since LCS went live in 2014/15 hence the large decrease.</w:t>
      </w:r>
    </w:p>
    <w:p w14:paraId="1FFA953D" w14:textId="407EA548" w:rsidR="008B3909" w:rsidRPr="009036DA" w:rsidRDefault="0012754F" w:rsidP="008B3909">
      <w:pPr>
        <w:pStyle w:val="ListParagraph"/>
        <w:numPr>
          <w:ilvl w:val="0"/>
          <w:numId w:val="29"/>
        </w:numPr>
        <w:spacing w:before="120" w:after="120" w:line="288" w:lineRule="auto"/>
        <w:jc w:val="both"/>
        <w:rPr>
          <w:rFonts w:cs="Arial"/>
          <w:bCs/>
          <w:smallCaps/>
          <w:color w:val="C0504D"/>
          <w:spacing w:val="5"/>
          <w:sz w:val="22"/>
        </w:rPr>
      </w:pPr>
      <w:r w:rsidRPr="009036DA">
        <w:rPr>
          <w:sz w:val="22"/>
        </w:rPr>
        <w:t>The r</w:t>
      </w:r>
      <w:r w:rsidR="00FB4407" w:rsidRPr="009036DA">
        <w:rPr>
          <w:sz w:val="22"/>
        </w:rPr>
        <w:t>e-referral</w:t>
      </w:r>
      <w:r w:rsidR="008B3909" w:rsidRPr="009036DA">
        <w:rPr>
          <w:sz w:val="22"/>
        </w:rPr>
        <w:t xml:space="preserve">s </w:t>
      </w:r>
      <w:r w:rsidRPr="009036DA">
        <w:rPr>
          <w:sz w:val="22"/>
        </w:rPr>
        <w:t xml:space="preserve">rate for referrals </w:t>
      </w:r>
      <w:r w:rsidR="008B3909" w:rsidRPr="009036DA">
        <w:rPr>
          <w:sz w:val="22"/>
        </w:rPr>
        <w:t>that lead to a single assessment</w:t>
      </w:r>
      <w:r w:rsidR="00FB4407" w:rsidRPr="009036DA">
        <w:rPr>
          <w:sz w:val="22"/>
        </w:rPr>
        <w:t xml:space="preserve"> </w:t>
      </w:r>
      <w:r w:rsidRPr="009036DA">
        <w:rPr>
          <w:rFonts w:cs="Arial"/>
          <w:sz w:val="22"/>
        </w:rPr>
        <w:t>is</w:t>
      </w:r>
      <w:r w:rsidR="004722EE" w:rsidRPr="009036DA">
        <w:rPr>
          <w:rFonts w:cs="Arial"/>
          <w:sz w:val="22"/>
        </w:rPr>
        <w:t xml:space="preserve"> </w:t>
      </w:r>
      <w:r w:rsidR="004722EE" w:rsidRPr="009036DA">
        <w:rPr>
          <w:rFonts w:cs="Arial"/>
          <w:b/>
          <w:sz w:val="22"/>
        </w:rPr>
        <w:t>1</w:t>
      </w:r>
      <w:r w:rsidR="00DB7E49" w:rsidRPr="009036DA">
        <w:rPr>
          <w:rFonts w:cs="Arial"/>
          <w:b/>
          <w:sz w:val="22"/>
        </w:rPr>
        <w:t>7</w:t>
      </w:r>
      <w:r w:rsidR="00F9438A" w:rsidRPr="009036DA">
        <w:rPr>
          <w:rFonts w:cs="Arial"/>
          <w:b/>
          <w:sz w:val="22"/>
        </w:rPr>
        <w:t>.</w:t>
      </w:r>
      <w:r w:rsidR="009E6914" w:rsidRPr="009036DA">
        <w:rPr>
          <w:rFonts w:cs="Arial"/>
          <w:b/>
          <w:sz w:val="22"/>
        </w:rPr>
        <w:t>8</w:t>
      </w:r>
      <w:r w:rsidR="00DB7E49" w:rsidRPr="009036DA">
        <w:rPr>
          <w:rFonts w:cs="Arial"/>
          <w:b/>
          <w:sz w:val="22"/>
        </w:rPr>
        <w:t>%</w:t>
      </w:r>
      <w:r w:rsidR="00DB7E49" w:rsidRPr="009036DA">
        <w:rPr>
          <w:rFonts w:cs="Arial"/>
          <w:sz w:val="22"/>
        </w:rPr>
        <w:t xml:space="preserve"> </w:t>
      </w:r>
      <w:r w:rsidR="009E6914" w:rsidRPr="009036DA">
        <w:rPr>
          <w:rFonts w:cs="Arial"/>
          <w:sz w:val="22"/>
        </w:rPr>
        <w:t>in June</w:t>
      </w:r>
      <w:r w:rsidR="00F9438A" w:rsidRPr="009036DA">
        <w:rPr>
          <w:rFonts w:cs="Arial"/>
          <w:sz w:val="22"/>
        </w:rPr>
        <w:t xml:space="preserve"> 2015, in line with the 2014/15 average.</w:t>
      </w:r>
    </w:p>
    <w:p w14:paraId="6B3BF94F" w14:textId="029342BA" w:rsidR="007D01D4" w:rsidRPr="009036DA" w:rsidRDefault="007D01D4" w:rsidP="00266D75">
      <w:pPr>
        <w:pStyle w:val="ListParagraph"/>
        <w:numPr>
          <w:ilvl w:val="0"/>
          <w:numId w:val="29"/>
        </w:numPr>
        <w:spacing w:before="120" w:after="120" w:line="288" w:lineRule="auto"/>
        <w:jc w:val="both"/>
        <w:rPr>
          <w:rFonts w:cs="Arial"/>
          <w:bCs/>
          <w:smallCaps/>
          <w:color w:val="C0504D"/>
          <w:spacing w:val="5"/>
          <w:sz w:val="22"/>
        </w:rPr>
      </w:pPr>
      <w:r w:rsidRPr="009036DA">
        <w:rPr>
          <w:sz w:val="22"/>
        </w:rPr>
        <w:t>Re-referral rates have</w:t>
      </w:r>
      <w:r w:rsidR="001D1A01" w:rsidRPr="009036DA">
        <w:rPr>
          <w:sz w:val="22"/>
        </w:rPr>
        <w:t xml:space="preserve"> stayed below </w:t>
      </w:r>
      <w:r w:rsidR="001D1A01" w:rsidRPr="009036DA">
        <w:rPr>
          <w:b/>
          <w:sz w:val="22"/>
        </w:rPr>
        <w:t>20%</w:t>
      </w:r>
      <w:r w:rsidR="001D1A01" w:rsidRPr="009036DA">
        <w:rPr>
          <w:sz w:val="22"/>
        </w:rPr>
        <w:t xml:space="preserve"> for the </w:t>
      </w:r>
      <w:r w:rsidR="00F9438A" w:rsidRPr="009036DA">
        <w:rPr>
          <w:sz w:val="22"/>
        </w:rPr>
        <w:t>over 12 months.</w:t>
      </w:r>
    </w:p>
    <w:p w14:paraId="76D835B8" w14:textId="77777777" w:rsidR="00FB4407" w:rsidRPr="009036DA" w:rsidRDefault="00FB4407" w:rsidP="00113AD9">
      <w:pPr>
        <w:pStyle w:val="ListParagraph"/>
        <w:spacing w:before="120" w:after="120" w:line="288" w:lineRule="auto"/>
        <w:ind w:left="0"/>
        <w:jc w:val="both"/>
        <w:rPr>
          <w:rFonts w:cs="Arial"/>
          <w:bCs/>
          <w:smallCaps/>
          <w:color w:val="C0504D"/>
          <w:spacing w:val="5"/>
          <w:sz w:val="22"/>
        </w:rPr>
      </w:pPr>
    </w:p>
    <w:p w14:paraId="5F91D4F2" w14:textId="77777777" w:rsidR="00FB4407" w:rsidRPr="009036DA" w:rsidRDefault="0011131C" w:rsidP="00891737">
      <w:pPr>
        <w:spacing w:before="120" w:after="120" w:line="288" w:lineRule="auto"/>
        <w:jc w:val="both"/>
        <w:rPr>
          <w:rStyle w:val="IntenseReference"/>
        </w:rPr>
      </w:pPr>
      <w:r w:rsidRPr="009036DA">
        <w:rPr>
          <w:noProof/>
          <w:lang w:eastAsia="en-GB"/>
        </w:rPr>
        <w:drawing>
          <wp:anchor distT="0" distB="0" distL="114300" distR="114300" simplePos="0" relativeHeight="251656192" behindDoc="1" locked="0" layoutInCell="1" allowOverlap="1" wp14:anchorId="04FB28FA" wp14:editId="325FC448">
            <wp:simplePos x="0" y="0"/>
            <wp:positionH relativeFrom="column">
              <wp:posOffset>5043170</wp:posOffset>
            </wp:positionH>
            <wp:positionV relativeFrom="paragraph">
              <wp:posOffset>119380</wp:posOffset>
            </wp:positionV>
            <wp:extent cx="958850" cy="690880"/>
            <wp:effectExtent l="0" t="0" r="0" b="0"/>
            <wp:wrapTight wrapText="bothSides">
              <wp:wrapPolygon edited="0">
                <wp:start x="0" y="0"/>
                <wp:lineTo x="0" y="20846"/>
                <wp:lineTo x="21028" y="20846"/>
                <wp:lineTo x="21028" y="0"/>
                <wp:lineTo x="0" y="0"/>
              </wp:wrapPolygon>
            </wp:wrapTight>
            <wp:docPr id="12" name="Picture 8" descr="Mo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vi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8850" cy="690880"/>
                    </a:xfrm>
                    <a:prstGeom prst="rect">
                      <a:avLst/>
                    </a:prstGeom>
                    <a:noFill/>
                  </pic:spPr>
                </pic:pic>
              </a:graphicData>
            </a:graphic>
            <wp14:sizeRelH relativeFrom="page">
              <wp14:pctWidth>0</wp14:pctWidth>
            </wp14:sizeRelH>
            <wp14:sizeRelV relativeFrom="page">
              <wp14:pctHeight>0</wp14:pctHeight>
            </wp14:sizeRelV>
          </wp:anchor>
        </w:drawing>
      </w:r>
      <w:r w:rsidR="00FB4407" w:rsidRPr="009036DA">
        <w:rPr>
          <w:rStyle w:val="IntenseReference"/>
        </w:rPr>
        <w:t>Stability of Placements of CLA: Number of Moves</w:t>
      </w:r>
    </w:p>
    <w:p w14:paraId="78A3208D" w14:textId="77777777" w:rsidR="00FB4407" w:rsidRPr="009036DA" w:rsidRDefault="00FB4407" w:rsidP="00890FBA">
      <w:pPr>
        <w:spacing w:after="120" w:line="288" w:lineRule="auto"/>
        <w:jc w:val="both"/>
        <w:rPr>
          <w:sz w:val="22"/>
        </w:rPr>
      </w:pPr>
      <w:r w:rsidRPr="009036DA">
        <w:rPr>
          <w:sz w:val="22"/>
        </w:rPr>
        <w:t>How many children looked after moved placement twice during the past year:</w:t>
      </w:r>
    </w:p>
    <w:p w14:paraId="2524BCDB" w14:textId="77777777" w:rsidR="00FB4407" w:rsidRPr="009036DA" w:rsidRDefault="00FB4407" w:rsidP="00F676C5">
      <w:pPr>
        <w:pStyle w:val="ListParagraph"/>
        <w:numPr>
          <w:ilvl w:val="0"/>
          <w:numId w:val="3"/>
        </w:numPr>
        <w:spacing w:after="120" w:line="288" w:lineRule="auto"/>
        <w:jc w:val="both"/>
        <w:rPr>
          <w:sz w:val="22"/>
        </w:rPr>
      </w:pPr>
      <w:r w:rsidRPr="009036DA">
        <w:rPr>
          <w:sz w:val="22"/>
        </w:rPr>
        <w:t>Out of 100 children looked after, Lancashire targets to have less than 10 children looked after having to move twice or more during the year</w:t>
      </w:r>
      <w:r w:rsidR="00CF11CA" w:rsidRPr="009036DA">
        <w:rPr>
          <w:sz w:val="22"/>
        </w:rPr>
        <w:t>.</w:t>
      </w:r>
    </w:p>
    <w:p w14:paraId="0D6DEC50" w14:textId="41B50E16" w:rsidR="00FB4407" w:rsidRPr="009036DA" w:rsidRDefault="00FB4407" w:rsidP="000B5FC6">
      <w:pPr>
        <w:pStyle w:val="ListParagraph"/>
        <w:numPr>
          <w:ilvl w:val="0"/>
          <w:numId w:val="3"/>
        </w:numPr>
        <w:spacing w:after="120" w:line="288" w:lineRule="auto"/>
        <w:jc w:val="both"/>
        <w:rPr>
          <w:sz w:val="22"/>
        </w:rPr>
      </w:pPr>
      <w:r w:rsidRPr="009036DA">
        <w:rPr>
          <w:sz w:val="22"/>
        </w:rPr>
        <w:t>Latest information</w:t>
      </w:r>
      <w:r w:rsidR="007D01D4" w:rsidRPr="009036DA">
        <w:rPr>
          <w:sz w:val="22"/>
        </w:rPr>
        <w:t xml:space="preserve"> for </w:t>
      </w:r>
      <w:r w:rsidR="009036DA" w:rsidRPr="009036DA">
        <w:rPr>
          <w:sz w:val="22"/>
        </w:rPr>
        <w:t>June</w:t>
      </w:r>
      <w:r w:rsidR="00DB7E49" w:rsidRPr="009036DA">
        <w:rPr>
          <w:sz w:val="22"/>
        </w:rPr>
        <w:t xml:space="preserve"> 2015</w:t>
      </w:r>
      <w:r w:rsidRPr="009036DA">
        <w:rPr>
          <w:sz w:val="22"/>
        </w:rPr>
        <w:t xml:space="preserve"> shows that </w:t>
      </w:r>
      <w:r w:rsidR="009036DA" w:rsidRPr="009036DA">
        <w:rPr>
          <w:sz w:val="22"/>
        </w:rPr>
        <w:t>just und</w:t>
      </w:r>
      <w:r w:rsidR="00875412" w:rsidRPr="009036DA">
        <w:rPr>
          <w:sz w:val="22"/>
        </w:rPr>
        <w:t>er</w:t>
      </w:r>
      <w:r w:rsidR="004722EE" w:rsidRPr="009036DA">
        <w:rPr>
          <w:sz w:val="22"/>
        </w:rPr>
        <w:t xml:space="preserve"> </w:t>
      </w:r>
      <w:r w:rsidR="007D01D4" w:rsidRPr="009036DA">
        <w:rPr>
          <w:b/>
          <w:sz w:val="22"/>
        </w:rPr>
        <w:t>6</w:t>
      </w:r>
      <w:r w:rsidRPr="009036DA">
        <w:rPr>
          <w:sz w:val="22"/>
        </w:rPr>
        <w:t xml:space="preserve"> out of 100 children looked</w:t>
      </w:r>
      <w:r w:rsidR="007D01D4" w:rsidRPr="009036DA">
        <w:rPr>
          <w:sz w:val="22"/>
        </w:rPr>
        <w:t xml:space="preserve"> after</w:t>
      </w:r>
      <w:r w:rsidRPr="009036DA">
        <w:rPr>
          <w:sz w:val="22"/>
        </w:rPr>
        <w:t xml:space="preserve"> have moved twice or more which is good performance and within the target</w:t>
      </w:r>
      <w:r w:rsidR="00CF11CA" w:rsidRPr="009036DA">
        <w:rPr>
          <w:sz w:val="22"/>
        </w:rPr>
        <w:t>.</w:t>
      </w:r>
    </w:p>
    <w:p w14:paraId="4D0F68DE" w14:textId="7FB4C76C" w:rsidR="00FB4407" w:rsidRPr="009036DA" w:rsidRDefault="00FB4407" w:rsidP="000B5FC6">
      <w:pPr>
        <w:pStyle w:val="ListParagraph"/>
        <w:numPr>
          <w:ilvl w:val="0"/>
          <w:numId w:val="3"/>
        </w:numPr>
        <w:spacing w:after="120" w:line="288" w:lineRule="auto"/>
        <w:jc w:val="both"/>
        <w:rPr>
          <w:sz w:val="22"/>
        </w:rPr>
      </w:pPr>
      <w:r w:rsidRPr="009036DA">
        <w:rPr>
          <w:sz w:val="22"/>
        </w:rPr>
        <w:t xml:space="preserve">This is also </w:t>
      </w:r>
      <w:r w:rsidR="00875412" w:rsidRPr="009036DA">
        <w:rPr>
          <w:sz w:val="22"/>
        </w:rPr>
        <w:t xml:space="preserve">a slight improvement on last year's performance of </w:t>
      </w:r>
      <w:r w:rsidR="00875412" w:rsidRPr="009036DA">
        <w:rPr>
          <w:b/>
          <w:sz w:val="22"/>
        </w:rPr>
        <w:t>6.8%</w:t>
      </w:r>
      <w:r w:rsidR="00875412" w:rsidRPr="009036DA">
        <w:rPr>
          <w:sz w:val="22"/>
        </w:rPr>
        <w:t xml:space="preserve"> and a big improvement on 2013/14 when </w:t>
      </w:r>
      <w:r w:rsidR="00875412" w:rsidRPr="009036DA">
        <w:rPr>
          <w:b/>
          <w:sz w:val="22"/>
        </w:rPr>
        <w:t>9</w:t>
      </w:r>
      <w:r w:rsidRPr="009036DA">
        <w:rPr>
          <w:sz w:val="22"/>
        </w:rPr>
        <w:t xml:space="preserve"> out of 100 children looked </w:t>
      </w:r>
      <w:r w:rsidR="007D01D4" w:rsidRPr="009036DA">
        <w:rPr>
          <w:sz w:val="22"/>
        </w:rPr>
        <w:t xml:space="preserve">after </w:t>
      </w:r>
      <w:r w:rsidRPr="009036DA">
        <w:rPr>
          <w:sz w:val="22"/>
        </w:rPr>
        <w:t>had to move twice or more during the year</w:t>
      </w:r>
      <w:r w:rsidR="00CF11CA" w:rsidRPr="009036DA">
        <w:rPr>
          <w:sz w:val="22"/>
        </w:rPr>
        <w:t>.</w:t>
      </w:r>
    </w:p>
    <w:tbl>
      <w:tblPr>
        <w:tblW w:w="9299" w:type="dxa"/>
        <w:tblInd w:w="103" w:type="dxa"/>
        <w:tblLook w:val="00A0" w:firstRow="1" w:lastRow="0" w:firstColumn="1" w:lastColumn="0" w:noHBand="0" w:noVBand="0"/>
      </w:tblPr>
      <w:tblGrid>
        <w:gridCol w:w="1389"/>
        <w:gridCol w:w="1388"/>
        <w:gridCol w:w="1039"/>
        <w:gridCol w:w="1481"/>
        <w:gridCol w:w="2108"/>
        <w:gridCol w:w="1894"/>
      </w:tblGrid>
      <w:tr w:rsidR="00875412" w:rsidRPr="009036DA" w14:paraId="7C91FA58" w14:textId="77777777" w:rsidTr="00875412">
        <w:trPr>
          <w:trHeight w:val="315"/>
        </w:trPr>
        <w:tc>
          <w:tcPr>
            <w:tcW w:w="3816" w:type="dxa"/>
            <w:gridSpan w:val="3"/>
            <w:tcBorders>
              <w:top w:val="single" w:sz="4" w:space="0" w:color="auto"/>
              <w:left w:val="single" w:sz="4" w:space="0" w:color="auto"/>
              <w:bottom w:val="single" w:sz="4" w:space="0" w:color="auto"/>
              <w:right w:val="single" w:sz="4" w:space="0" w:color="auto"/>
            </w:tcBorders>
            <w:shd w:val="clear" w:color="000000" w:fill="EAF1DD"/>
            <w:noWrap/>
            <w:vAlign w:val="center"/>
          </w:tcPr>
          <w:p w14:paraId="5FCAC076" w14:textId="34A54227" w:rsidR="00875412" w:rsidRPr="009036DA" w:rsidRDefault="00875412" w:rsidP="00C82905">
            <w:pPr>
              <w:spacing w:after="0" w:line="240" w:lineRule="auto"/>
              <w:jc w:val="center"/>
              <w:rPr>
                <w:rFonts w:ascii="Calibri" w:hAnsi="Calibri"/>
                <w:color w:val="000000"/>
                <w:szCs w:val="24"/>
                <w:lang w:eastAsia="en-GB"/>
              </w:rPr>
            </w:pPr>
            <w:r w:rsidRPr="009036DA">
              <w:rPr>
                <w:rFonts w:ascii="Calibri" w:hAnsi="Calibri"/>
                <w:color w:val="000000"/>
                <w:szCs w:val="24"/>
                <w:lang w:eastAsia="en-GB"/>
              </w:rPr>
              <w:t>Previous Performance</w:t>
            </w:r>
          </w:p>
        </w:tc>
        <w:tc>
          <w:tcPr>
            <w:tcW w:w="1481" w:type="dxa"/>
            <w:tcBorders>
              <w:top w:val="single" w:sz="4" w:space="0" w:color="auto"/>
              <w:left w:val="nil"/>
              <w:bottom w:val="single" w:sz="4" w:space="0" w:color="auto"/>
              <w:right w:val="single" w:sz="4" w:space="0" w:color="auto"/>
            </w:tcBorders>
            <w:shd w:val="clear" w:color="000000" w:fill="EAF1DD"/>
            <w:noWrap/>
            <w:vAlign w:val="center"/>
          </w:tcPr>
          <w:p w14:paraId="4B8E6295" w14:textId="5743D18C" w:rsidR="00875412" w:rsidRPr="009036DA" w:rsidRDefault="00875412" w:rsidP="00C82905">
            <w:pPr>
              <w:spacing w:after="0" w:line="240" w:lineRule="auto"/>
              <w:jc w:val="center"/>
              <w:rPr>
                <w:rFonts w:ascii="Calibri" w:hAnsi="Calibri"/>
                <w:color w:val="000000"/>
                <w:szCs w:val="24"/>
                <w:lang w:eastAsia="en-GB"/>
              </w:rPr>
            </w:pPr>
            <w:r w:rsidRPr="009036DA">
              <w:rPr>
                <w:rFonts w:ascii="Calibri" w:hAnsi="Calibri"/>
                <w:color w:val="000000"/>
                <w:szCs w:val="24"/>
                <w:lang w:eastAsia="en-GB"/>
              </w:rPr>
              <w:t>Current Performance</w:t>
            </w:r>
          </w:p>
        </w:tc>
        <w:tc>
          <w:tcPr>
            <w:tcW w:w="2108" w:type="dxa"/>
            <w:tcBorders>
              <w:top w:val="single" w:sz="4" w:space="0" w:color="auto"/>
              <w:left w:val="nil"/>
              <w:bottom w:val="single" w:sz="4" w:space="0" w:color="auto"/>
              <w:right w:val="single" w:sz="4" w:space="0" w:color="auto"/>
            </w:tcBorders>
            <w:shd w:val="clear" w:color="000000" w:fill="EAF1DD"/>
            <w:noWrap/>
            <w:vAlign w:val="center"/>
          </w:tcPr>
          <w:p w14:paraId="3068D05C" w14:textId="77777777" w:rsidR="00875412" w:rsidRPr="009036DA" w:rsidRDefault="00875412" w:rsidP="00C82905">
            <w:pPr>
              <w:spacing w:after="0" w:line="240" w:lineRule="auto"/>
              <w:jc w:val="center"/>
              <w:rPr>
                <w:rFonts w:ascii="Calibri" w:hAnsi="Calibri"/>
                <w:color w:val="000000"/>
                <w:szCs w:val="24"/>
                <w:lang w:eastAsia="en-GB"/>
              </w:rPr>
            </w:pPr>
            <w:r w:rsidRPr="009036DA">
              <w:rPr>
                <w:rFonts w:ascii="Calibri" w:hAnsi="Calibri"/>
                <w:color w:val="000000"/>
                <w:szCs w:val="24"/>
                <w:lang w:eastAsia="en-GB"/>
              </w:rPr>
              <w:t>Target</w:t>
            </w:r>
          </w:p>
        </w:tc>
        <w:tc>
          <w:tcPr>
            <w:tcW w:w="1894" w:type="dxa"/>
            <w:vMerge w:val="restart"/>
            <w:tcBorders>
              <w:top w:val="single" w:sz="4" w:space="0" w:color="auto"/>
              <w:left w:val="single" w:sz="4" w:space="0" w:color="auto"/>
              <w:bottom w:val="single" w:sz="4" w:space="0" w:color="auto"/>
              <w:right w:val="single" w:sz="4" w:space="0" w:color="auto"/>
            </w:tcBorders>
            <w:shd w:val="clear" w:color="000000" w:fill="EAF1DD"/>
            <w:vAlign w:val="center"/>
          </w:tcPr>
          <w:p w14:paraId="400E3848" w14:textId="77777777" w:rsidR="00875412" w:rsidRPr="009036DA" w:rsidRDefault="00875412" w:rsidP="00C82905">
            <w:pPr>
              <w:spacing w:after="0" w:line="240" w:lineRule="auto"/>
              <w:jc w:val="center"/>
              <w:rPr>
                <w:rFonts w:ascii="Calibri" w:hAnsi="Calibri"/>
                <w:color w:val="000000"/>
                <w:szCs w:val="24"/>
                <w:lang w:eastAsia="en-GB"/>
              </w:rPr>
            </w:pPr>
            <w:r w:rsidRPr="009036DA">
              <w:rPr>
                <w:rFonts w:ascii="Calibri" w:hAnsi="Calibri"/>
                <w:color w:val="000000"/>
                <w:szCs w:val="24"/>
                <w:lang w:eastAsia="en-GB"/>
              </w:rPr>
              <w:t>Performance Direction?</w:t>
            </w:r>
          </w:p>
        </w:tc>
      </w:tr>
      <w:tr w:rsidR="00875412" w:rsidRPr="009036DA" w14:paraId="5B132488" w14:textId="77777777" w:rsidTr="00875412">
        <w:trPr>
          <w:trHeight w:val="315"/>
        </w:trPr>
        <w:tc>
          <w:tcPr>
            <w:tcW w:w="1389" w:type="dxa"/>
            <w:tcBorders>
              <w:top w:val="nil"/>
              <w:left w:val="single" w:sz="4" w:space="0" w:color="auto"/>
              <w:bottom w:val="single" w:sz="4" w:space="0" w:color="auto"/>
              <w:right w:val="single" w:sz="4" w:space="0" w:color="auto"/>
            </w:tcBorders>
            <w:shd w:val="clear" w:color="000000" w:fill="EAF1DD"/>
            <w:noWrap/>
            <w:vAlign w:val="center"/>
          </w:tcPr>
          <w:p w14:paraId="073DFA28" w14:textId="77777777" w:rsidR="00875412" w:rsidRPr="009036DA" w:rsidRDefault="00875412" w:rsidP="00CF11CA">
            <w:pPr>
              <w:spacing w:after="0" w:line="240" w:lineRule="auto"/>
              <w:jc w:val="center"/>
              <w:rPr>
                <w:rFonts w:ascii="Calibri" w:hAnsi="Calibri"/>
                <w:color w:val="000000"/>
                <w:szCs w:val="24"/>
                <w:lang w:eastAsia="en-GB"/>
              </w:rPr>
            </w:pPr>
            <w:r w:rsidRPr="009036DA">
              <w:rPr>
                <w:rFonts w:ascii="Calibri" w:hAnsi="Calibri"/>
                <w:color w:val="000000"/>
                <w:szCs w:val="24"/>
                <w:lang w:eastAsia="en-GB"/>
              </w:rPr>
              <w:t>2012/13</w:t>
            </w:r>
          </w:p>
        </w:tc>
        <w:tc>
          <w:tcPr>
            <w:tcW w:w="1388" w:type="dxa"/>
            <w:tcBorders>
              <w:top w:val="nil"/>
              <w:left w:val="nil"/>
              <w:bottom w:val="single" w:sz="4" w:space="0" w:color="auto"/>
              <w:right w:val="single" w:sz="4" w:space="0" w:color="auto"/>
            </w:tcBorders>
            <w:shd w:val="clear" w:color="000000" w:fill="EAF1DD"/>
            <w:noWrap/>
            <w:vAlign w:val="center"/>
          </w:tcPr>
          <w:p w14:paraId="6FB2917E" w14:textId="77777777" w:rsidR="00875412" w:rsidRPr="009036DA" w:rsidRDefault="00875412" w:rsidP="00CF11CA">
            <w:pPr>
              <w:spacing w:after="0" w:line="240" w:lineRule="auto"/>
              <w:jc w:val="center"/>
              <w:rPr>
                <w:rFonts w:ascii="Calibri" w:hAnsi="Calibri"/>
                <w:color w:val="000000"/>
                <w:szCs w:val="24"/>
                <w:lang w:eastAsia="en-GB"/>
              </w:rPr>
            </w:pPr>
            <w:r w:rsidRPr="009036DA">
              <w:rPr>
                <w:rFonts w:ascii="Calibri" w:hAnsi="Calibri"/>
                <w:color w:val="000000"/>
                <w:szCs w:val="24"/>
                <w:lang w:eastAsia="en-GB"/>
              </w:rPr>
              <w:t>2013/14</w:t>
            </w:r>
          </w:p>
        </w:tc>
        <w:tc>
          <w:tcPr>
            <w:tcW w:w="1039" w:type="dxa"/>
            <w:tcBorders>
              <w:top w:val="single" w:sz="4" w:space="0" w:color="auto"/>
              <w:left w:val="nil"/>
              <w:bottom w:val="single" w:sz="4" w:space="0" w:color="auto"/>
              <w:right w:val="single" w:sz="4" w:space="0" w:color="auto"/>
            </w:tcBorders>
            <w:shd w:val="clear" w:color="000000" w:fill="EAF1DD"/>
          </w:tcPr>
          <w:p w14:paraId="250C6628" w14:textId="4BE5991A" w:rsidR="00875412" w:rsidRPr="009036DA" w:rsidRDefault="00875412" w:rsidP="00C82905">
            <w:pPr>
              <w:spacing w:after="0" w:line="240" w:lineRule="auto"/>
              <w:jc w:val="center"/>
              <w:rPr>
                <w:rFonts w:ascii="Calibri" w:hAnsi="Calibri"/>
                <w:color w:val="000000"/>
                <w:szCs w:val="24"/>
                <w:lang w:eastAsia="en-GB"/>
              </w:rPr>
            </w:pPr>
            <w:r w:rsidRPr="009036DA">
              <w:rPr>
                <w:rFonts w:ascii="Calibri" w:hAnsi="Calibri"/>
                <w:color w:val="000000"/>
                <w:szCs w:val="24"/>
                <w:lang w:eastAsia="en-GB"/>
              </w:rPr>
              <w:t>2014/15</w:t>
            </w:r>
          </w:p>
        </w:tc>
        <w:tc>
          <w:tcPr>
            <w:tcW w:w="1481" w:type="dxa"/>
            <w:tcBorders>
              <w:top w:val="nil"/>
              <w:left w:val="single" w:sz="4" w:space="0" w:color="auto"/>
              <w:bottom w:val="single" w:sz="4" w:space="0" w:color="auto"/>
              <w:right w:val="single" w:sz="4" w:space="0" w:color="auto"/>
            </w:tcBorders>
            <w:shd w:val="clear" w:color="000000" w:fill="EAF1DD"/>
            <w:noWrap/>
            <w:vAlign w:val="center"/>
          </w:tcPr>
          <w:p w14:paraId="30847B1F" w14:textId="7783BE78" w:rsidR="00875412" w:rsidRPr="009036DA" w:rsidRDefault="00875412" w:rsidP="00C82905">
            <w:pPr>
              <w:spacing w:after="0" w:line="240" w:lineRule="auto"/>
              <w:jc w:val="center"/>
              <w:rPr>
                <w:rFonts w:ascii="Calibri" w:hAnsi="Calibri"/>
                <w:color w:val="000000"/>
                <w:szCs w:val="24"/>
                <w:lang w:eastAsia="en-GB"/>
              </w:rPr>
            </w:pPr>
            <w:r w:rsidRPr="009036DA">
              <w:rPr>
                <w:rFonts w:ascii="Calibri" w:hAnsi="Calibri"/>
                <w:color w:val="000000"/>
                <w:szCs w:val="24"/>
                <w:lang w:eastAsia="en-GB"/>
              </w:rPr>
              <w:t>2015/16</w:t>
            </w:r>
          </w:p>
        </w:tc>
        <w:tc>
          <w:tcPr>
            <w:tcW w:w="2108" w:type="dxa"/>
            <w:tcBorders>
              <w:top w:val="nil"/>
              <w:left w:val="nil"/>
              <w:bottom w:val="single" w:sz="4" w:space="0" w:color="auto"/>
              <w:right w:val="single" w:sz="4" w:space="0" w:color="auto"/>
            </w:tcBorders>
            <w:shd w:val="clear" w:color="000000" w:fill="EAF1DD"/>
            <w:noWrap/>
            <w:vAlign w:val="center"/>
          </w:tcPr>
          <w:p w14:paraId="657420E9" w14:textId="77777777" w:rsidR="00875412" w:rsidRPr="009036DA" w:rsidRDefault="00875412" w:rsidP="00C82905">
            <w:pPr>
              <w:spacing w:after="0" w:line="240" w:lineRule="auto"/>
              <w:jc w:val="center"/>
              <w:rPr>
                <w:rFonts w:ascii="Calibri" w:hAnsi="Calibri"/>
                <w:color w:val="000000"/>
                <w:szCs w:val="24"/>
                <w:lang w:eastAsia="en-GB"/>
              </w:rPr>
            </w:pPr>
            <w:r w:rsidRPr="009036DA">
              <w:rPr>
                <w:rFonts w:ascii="Calibri" w:hAnsi="Calibri"/>
                <w:color w:val="000000"/>
                <w:szCs w:val="24"/>
                <w:lang w:eastAsia="en-GB"/>
              </w:rPr>
              <w:t> </w:t>
            </w:r>
          </w:p>
        </w:tc>
        <w:tc>
          <w:tcPr>
            <w:tcW w:w="1894" w:type="dxa"/>
            <w:vMerge/>
            <w:tcBorders>
              <w:top w:val="single" w:sz="4" w:space="0" w:color="auto"/>
              <w:left w:val="single" w:sz="4" w:space="0" w:color="auto"/>
              <w:bottom w:val="single" w:sz="4" w:space="0" w:color="auto"/>
              <w:right w:val="single" w:sz="4" w:space="0" w:color="auto"/>
            </w:tcBorders>
            <w:vAlign w:val="center"/>
          </w:tcPr>
          <w:p w14:paraId="331F83E1" w14:textId="77777777" w:rsidR="00875412" w:rsidRPr="009036DA" w:rsidRDefault="00875412" w:rsidP="00C82905">
            <w:pPr>
              <w:spacing w:after="0" w:line="240" w:lineRule="auto"/>
              <w:rPr>
                <w:rFonts w:ascii="Calibri" w:hAnsi="Calibri"/>
                <w:color w:val="000000"/>
                <w:szCs w:val="24"/>
                <w:lang w:eastAsia="en-GB"/>
              </w:rPr>
            </w:pPr>
          </w:p>
        </w:tc>
      </w:tr>
      <w:tr w:rsidR="00875412" w:rsidRPr="009036DA" w14:paraId="302DB65C" w14:textId="77777777" w:rsidTr="00875412">
        <w:trPr>
          <w:trHeight w:val="315"/>
        </w:trPr>
        <w:tc>
          <w:tcPr>
            <w:tcW w:w="1389" w:type="dxa"/>
            <w:tcBorders>
              <w:top w:val="nil"/>
              <w:left w:val="single" w:sz="4" w:space="0" w:color="auto"/>
              <w:bottom w:val="single" w:sz="4" w:space="0" w:color="auto"/>
              <w:right w:val="single" w:sz="4" w:space="0" w:color="auto"/>
            </w:tcBorders>
            <w:noWrap/>
            <w:vAlign w:val="center"/>
          </w:tcPr>
          <w:p w14:paraId="086D4E6D" w14:textId="77777777" w:rsidR="00875412" w:rsidRPr="009036DA" w:rsidRDefault="00875412" w:rsidP="00CF11CA">
            <w:pPr>
              <w:spacing w:after="0" w:line="240" w:lineRule="auto"/>
              <w:jc w:val="center"/>
              <w:rPr>
                <w:rFonts w:ascii="Calibri" w:hAnsi="Calibri"/>
                <w:color w:val="000000"/>
                <w:szCs w:val="24"/>
                <w:lang w:eastAsia="en-GB"/>
              </w:rPr>
            </w:pPr>
            <w:r w:rsidRPr="009036DA">
              <w:rPr>
                <w:rFonts w:ascii="Calibri" w:hAnsi="Calibri"/>
                <w:color w:val="000000"/>
                <w:szCs w:val="24"/>
                <w:lang w:eastAsia="en-GB"/>
              </w:rPr>
              <w:t>8.7%</w:t>
            </w:r>
          </w:p>
        </w:tc>
        <w:tc>
          <w:tcPr>
            <w:tcW w:w="1388" w:type="dxa"/>
            <w:tcBorders>
              <w:top w:val="nil"/>
              <w:left w:val="nil"/>
              <w:bottom w:val="single" w:sz="4" w:space="0" w:color="auto"/>
              <w:right w:val="single" w:sz="4" w:space="0" w:color="auto"/>
            </w:tcBorders>
            <w:noWrap/>
            <w:vAlign w:val="center"/>
          </w:tcPr>
          <w:p w14:paraId="646656FB" w14:textId="2D56BF78" w:rsidR="00875412" w:rsidRPr="009036DA" w:rsidRDefault="00875412" w:rsidP="00CF11CA">
            <w:pPr>
              <w:spacing w:after="0" w:line="240" w:lineRule="auto"/>
              <w:jc w:val="center"/>
              <w:rPr>
                <w:rFonts w:ascii="Calibri" w:hAnsi="Calibri"/>
                <w:color w:val="000000"/>
                <w:szCs w:val="24"/>
                <w:lang w:eastAsia="en-GB"/>
              </w:rPr>
            </w:pPr>
            <w:r w:rsidRPr="009036DA">
              <w:rPr>
                <w:rFonts w:ascii="Calibri" w:hAnsi="Calibri"/>
                <w:color w:val="000000"/>
                <w:szCs w:val="24"/>
                <w:lang w:eastAsia="en-GB"/>
              </w:rPr>
              <w:t>9.5%</w:t>
            </w:r>
          </w:p>
        </w:tc>
        <w:tc>
          <w:tcPr>
            <w:tcW w:w="1039" w:type="dxa"/>
            <w:tcBorders>
              <w:top w:val="single" w:sz="4" w:space="0" w:color="auto"/>
              <w:left w:val="nil"/>
              <w:bottom w:val="single" w:sz="4" w:space="0" w:color="auto"/>
              <w:right w:val="single" w:sz="4" w:space="0" w:color="auto"/>
            </w:tcBorders>
          </w:tcPr>
          <w:p w14:paraId="14F3CBBD" w14:textId="73FC2180" w:rsidR="00875412" w:rsidRPr="009036DA" w:rsidRDefault="00875412" w:rsidP="00C82905">
            <w:pPr>
              <w:spacing w:after="0" w:line="240" w:lineRule="auto"/>
              <w:jc w:val="center"/>
              <w:rPr>
                <w:rFonts w:ascii="Calibri" w:hAnsi="Calibri"/>
                <w:color w:val="000000"/>
                <w:szCs w:val="24"/>
                <w:lang w:eastAsia="en-GB"/>
              </w:rPr>
            </w:pPr>
            <w:r w:rsidRPr="009036DA">
              <w:rPr>
                <w:rFonts w:ascii="Calibri" w:hAnsi="Calibri"/>
                <w:color w:val="000000"/>
                <w:szCs w:val="24"/>
                <w:lang w:eastAsia="en-GB"/>
              </w:rPr>
              <w:t>6.8%</w:t>
            </w:r>
          </w:p>
        </w:tc>
        <w:tc>
          <w:tcPr>
            <w:tcW w:w="1481" w:type="dxa"/>
            <w:tcBorders>
              <w:top w:val="nil"/>
              <w:left w:val="single" w:sz="4" w:space="0" w:color="auto"/>
              <w:bottom w:val="single" w:sz="4" w:space="0" w:color="auto"/>
              <w:right w:val="single" w:sz="4" w:space="0" w:color="auto"/>
            </w:tcBorders>
            <w:noWrap/>
            <w:vAlign w:val="center"/>
          </w:tcPr>
          <w:p w14:paraId="4523BB8B" w14:textId="0B78FB5F" w:rsidR="00875412" w:rsidRPr="009036DA" w:rsidRDefault="009036DA" w:rsidP="00C82905">
            <w:pPr>
              <w:spacing w:after="0" w:line="240" w:lineRule="auto"/>
              <w:jc w:val="center"/>
              <w:rPr>
                <w:rFonts w:ascii="Calibri" w:hAnsi="Calibri"/>
                <w:color w:val="000000"/>
                <w:szCs w:val="24"/>
                <w:lang w:eastAsia="en-GB"/>
              </w:rPr>
            </w:pPr>
            <w:r w:rsidRPr="009036DA">
              <w:rPr>
                <w:rFonts w:ascii="Calibri" w:hAnsi="Calibri"/>
                <w:color w:val="000000"/>
                <w:szCs w:val="24"/>
                <w:lang w:eastAsia="en-GB"/>
              </w:rPr>
              <w:t>5</w:t>
            </w:r>
            <w:r w:rsidR="00875412" w:rsidRPr="009036DA">
              <w:rPr>
                <w:rFonts w:ascii="Calibri" w:hAnsi="Calibri"/>
                <w:color w:val="000000"/>
                <w:szCs w:val="24"/>
                <w:lang w:eastAsia="en-GB"/>
              </w:rPr>
              <w:t>.4%</w:t>
            </w:r>
          </w:p>
        </w:tc>
        <w:tc>
          <w:tcPr>
            <w:tcW w:w="2108" w:type="dxa"/>
            <w:tcBorders>
              <w:top w:val="nil"/>
              <w:left w:val="nil"/>
              <w:bottom w:val="single" w:sz="4" w:space="0" w:color="auto"/>
              <w:right w:val="single" w:sz="4" w:space="0" w:color="auto"/>
            </w:tcBorders>
            <w:noWrap/>
            <w:vAlign w:val="center"/>
          </w:tcPr>
          <w:p w14:paraId="06DE8D9B" w14:textId="77777777" w:rsidR="00875412" w:rsidRPr="009036DA" w:rsidRDefault="00875412" w:rsidP="00C82905">
            <w:pPr>
              <w:spacing w:after="0" w:line="240" w:lineRule="auto"/>
              <w:jc w:val="center"/>
              <w:rPr>
                <w:rFonts w:ascii="Calibri" w:hAnsi="Calibri"/>
                <w:color w:val="000000"/>
                <w:szCs w:val="24"/>
                <w:lang w:eastAsia="en-GB"/>
              </w:rPr>
            </w:pPr>
            <w:r w:rsidRPr="009036DA">
              <w:rPr>
                <w:rFonts w:ascii="Calibri" w:hAnsi="Calibri"/>
                <w:color w:val="000000"/>
                <w:szCs w:val="24"/>
                <w:lang w:eastAsia="en-GB"/>
              </w:rPr>
              <w:t>9.5%</w:t>
            </w:r>
          </w:p>
        </w:tc>
        <w:tc>
          <w:tcPr>
            <w:tcW w:w="1894" w:type="dxa"/>
            <w:vMerge w:val="restart"/>
            <w:tcBorders>
              <w:top w:val="nil"/>
              <w:left w:val="single" w:sz="4" w:space="0" w:color="auto"/>
              <w:bottom w:val="single" w:sz="4" w:space="0" w:color="auto"/>
              <w:right w:val="single" w:sz="4" w:space="0" w:color="auto"/>
            </w:tcBorders>
            <w:noWrap/>
            <w:vAlign w:val="center"/>
          </w:tcPr>
          <w:p w14:paraId="22EB1913" w14:textId="77777777" w:rsidR="00875412" w:rsidRPr="009036DA" w:rsidRDefault="00875412" w:rsidP="00C82905">
            <w:pPr>
              <w:spacing w:after="0" w:line="240" w:lineRule="auto"/>
              <w:jc w:val="center"/>
              <w:rPr>
                <w:rFonts w:ascii="Wingdings" w:hAnsi="Wingdings"/>
                <w:b/>
                <w:bCs/>
                <w:color w:val="00B050"/>
                <w:sz w:val="48"/>
                <w:szCs w:val="48"/>
                <w:lang w:eastAsia="en-GB"/>
              </w:rPr>
            </w:pPr>
            <w:r w:rsidRPr="009036DA">
              <w:rPr>
                <w:rFonts w:ascii="Wingdings" w:hAnsi="Wingdings"/>
                <w:b/>
                <w:bCs/>
                <w:color w:val="00B050"/>
                <w:sz w:val="48"/>
                <w:szCs w:val="48"/>
                <w:lang w:eastAsia="en-GB"/>
              </w:rPr>
              <w:t></w:t>
            </w:r>
          </w:p>
        </w:tc>
      </w:tr>
      <w:tr w:rsidR="00875412" w:rsidRPr="009036DA" w14:paraId="357DC5F8" w14:textId="77777777" w:rsidTr="00875412">
        <w:trPr>
          <w:trHeight w:val="375"/>
        </w:trPr>
        <w:tc>
          <w:tcPr>
            <w:tcW w:w="1389" w:type="dxa"/>
            <w:tcBorders>
              <w:top w:val="single" w:sz="4" w:space="0" w:color="auto"/>
              <w:left w:val="single" w:sz="4" w:space="0" w:color="auto"/>
              <w:bottom w:val="single" w:sz="4" w:space="0" w:color="auto"/>
              <w:right w:val="single" w:sz="4" w:space="0" w:color="auto"/>
            </w:tcBorders>
            <w:noWrap/>
            <w:vAlign w:val="center"/>
          </w:tcPr>
          <w:p w14:paraId="64B9B3B2" w14:textId="77777777" w:rsidR="00875412" w:rsidRPr="009036DA" w:rsidRDefault="00875412" w:rsidP="00CF11CA">
            <w:pPr>
              <w:spacing w:after="0" w:line="240" w:lineRule="auto"/>
              <w:jc w:val="center"/>
              <w:rPr>
                <w:rFonts w:ascii="Wingdings 3" w:hAnsi="Wingdings 3"/>
                <w:b/>
                <w:bCs/>
                <w:color w:val="00B050"/>
                <w:sz w:val="28"/>
                <w:szCs w:val="28"/>
                <w:lang w:eastAsia="en-GB"/>
              </w:rPr>
            </w:pPr>
            <w:r w:rsidRPr="009036DA">
              <w:rPr>
                <w:rFonts w:ascii="Wingdings 3" w:hAnsi="Wingdings 3"/>
                <w:b/>
                <w:bCs/>
                <w:color w:val="00B050"/>
                <w:sz w:val="28"/>
                <w:szCs w:val="28"/>
                <w:lang w:eastAsia="en-GB"/>
              </w:rPr>
              <w:t></w:t>
            </w:r>
          </w:p>
        </w:tc>
        <w:tc>
          <w:tcPr>
            <w:tcW w:w="1388" w:type="dxa"/>
            <w:tcBorders>
              <w:top w:val="single" w:sz="4" w:space="0" w:color="auto"/>
              <w:left w:val="single" w:sz="4" w:space="0" w:color="auto"/>
              <w:bottom w:val="single" w:sz="4" w:space="0" w:color="auto"/>
              <w:right w:val="single" w:sz="4" w:space="0" w:color="auto"/>
            </w:tcBorders>
            <w:noWrap/>
            <w:vAlign w:val="center"/>
          </w:tcPr>
          <w:p w14:paraId="432FB06B" w14:textId="77777777" w:rsidR="00875412" w:rsidRPr="009036DA" w:rsidRDefault="00875412" w:rsidP="00CF11CA">
            <w:pPr>
              <w:spacing w:after="0" w:line="240" w:lineRule="auto"/>
              <w:jc w:val="center"/>
              <w:rPr>
                <w:rFonts w:ascii="Wingdings 3" w:hAnsi="Wingdings 3"/>
                <w:b/>
                <w:bCs/>
                <w:color w:val="00B050"/>
                <w:sz w:val="28"/>
                <w:szCs w:val="28"/>
                <w:lang w:eastAsia="en-GB"/>
              </w:rPr>
            </w:pPr>
            <w:r w:rsidRPr="009036DA">
              <w:rPr>
                <w:rFonts w:ascii="Wingdings 3" w:hAnsi="Wingdings 3"/>
                <w:b/>
                <w:bCs/>
                <w:color w:val="FF0000"/>
                <w:sz w:val="28"/>
                <w:szCs w:val="28"/>
                <w:lang w:eastAsia="en-GB"/>
              </w:rPr>
              <w:t></w:t>
            </w:r>
          </w:p>
        </w:tc>
        <w:tc>
          <w:tcPr>
            <w:tcW w:w="1039" w:type="dxa"/>
            <w:tcBorders>
              <w:top w:val="single" w:sz="4" w:space="0" w:color="auto"/>
              <w:left w:val="single" w:sz="4" w:space="0" w:color="auto"/>
              <w:bottom w:val="single" w:sz="4" w:space="0" w:color="auto"/>
              <w:right w:val="single" w:sz="4" w:space="0" w:color="auto"/>
            </w:tcBorders>
          </w:tcPr>
          <w:p w14:paraId="742C8CA3" w14:textId="6C762FB8" w:rsidR="00875412" w:rsidRPr="009036DA" w:rsidRDefault="00875412" w:rsidP="00C82905">
            <w:pPr>
              <w:spacing w:after="0" w:line="240" w:lineRule="auto"/>
              <w:jc w:val="center"/>
              <w:rPr>
                <w:rFonts w:ascii="Wingdings 3" w:hAnsi="Wingdings 3"/>
                <w:b/>
                <w:bCs/>
                <w:color w:val="00B050"/>
                <w:sz w:val="28"/>
                <w:szCs w:val="28"/>
                <w:lang w:eastAsia="en-GB"/>
              </w:rPr>
            </w:pPr>
            <w:r w:rsidRPr="009036DA">
              <w:rPr>
                <w:rFonts w:ascii="Wingdings 3" w:hAnsi="Wingdings 3"/>
                <w:b/>
                <w:bCs/>
                <w:color w:val="00B050"/>
                <w:sz w:val="28"/>
                <w:szCs w:val="28"/>
                <w:lang w:eastAsia="en-GB"/>
              </w:rPr>
              <w:t></w:t>
            </w:r>
          </w:p>
        </w:tc>
        <w:tc>
          <w:tcPr>
            <w:tcW w:w="1481" w:type="dxa"/>
            <w:tcBorders>
              <w:top w:val="single" w:sz="4" w:space="0" w:color="auto"/>
              <w:left w:val="single" w:sz="4" w:space="0" w:color="auto"/>
              <w:bottom w:val="single" w:sz="4" w:space="0" w:color="auto"/>
              <w:right w:val="single" w:sz="4" w:space="0" w:color="auto"/>
            </w:tcBorders>
            <w:noWrap/>
            <w:vAlign w:val="center"/>
          </w:tcPr>
          <w:p w14:paraId="178FE346" w14:textId="67DBBE9D" w:rsidR="00875412" w:rsidRPr="009036DA" w:rsidRDefault="00875412" w:rsidP="00C82905">
            <w:pPr>
              <w:spacing w:after="0" w:line="240" w:lineRule="auto"/>
              <w:jc w:val="center"/>
              <w:rPr>
                <w:rFonts w:ascii="Wingdings 3" w:hAnsi="Wingdings 3"/>
                <w:b/>
                <w:bCs/>
                <w:color w:val="00B050"/>
                <w:sz w:val="28"/>
                <w:szCs w:val="28"/>
                <w:lang w:eastAsia="en-GB"/>
              </w:rPr>
            </w:pPr>
            <w:r w:rsidRPr="009036DA">
              <w:rPr>
                <w:rFonts w:ascii="Wingdings 3" w:hAnsi="Wingdings 3"/>
                <w:b/>
                <w:bCs/>
                <w:color w:val="00B050"/>
                <w:sz w:val="28"/>
                <w:szCs w:val="28"/>
                <w:lang w:eastAsia="en-GB"/>
              </w:rPr>
              <w:t></w:t>
            </w:r>
          </w:p>
        </w:tc>
        <w:tc>
          <w:tcPr>
            <w:tcW w:w="2108" w:type="dxa"/>
            <w:tcBorders>
              <w:top w:val="nil"/>
              <w:left w:val="nil"/>
              <w:bottom w:val="single" w:sz="4" w:space="0" w:color="auto"/>
              <w:right w:val="single" w:sz="4" w:space="0" w:color="auto"/>
            </w:tcBorders>
            <w:noWrap/>
            <w:vAlign w:val="center"/>
          </w:tcPr>
          <w:p w14:paraId="060EA536" w14:textId="77777777" w:rsidR="00875412" w:rsidRPr="009036DA" w:rsidRDefault="00875412" w:rsidP="00C82905">
            <w:pPr>
              <w:spacing w:after="0" w:line="240" w:lineRule="auto"/>
              <w:jc w:val="center"/>
              <w:rPr>
                <w:rFonts w:ascii="Wingdings 2" w:hAnsi="Wingdings 2"/>
                <w:b/>
                <w:bCs/>
                <w:color w:val="00B050"/>
                <w:sz w:val="28"/>
                <w:szCs w:val="28"/>
                <w:lang w:eastAsia="en-GB"/>
              </w:rPr>
            </w:pPr>
            <w:r w:rsidRPr="009036DA">
              <w:rPr>
                <w:rFonts w:ascii="Wingdings 2" w:hAnsi="Wingdings 2"/>
                <w:b/>
                <w:bCs/>
                <w:color w:val="00B050"/>
                <w:sz w:val="28"/>
                <w:szCs w:val="28"/>
                <w:lang w:eastAsia="en-GB"/>
              </w:rPr>
              <w:t></w:t>
            </w:r>
          </w:p>
        </w:tc>
        <w:tc>
          <w:tcPr>
            <w:tcW w:w="1894" w:type="dxa"/>
            <w:vMerge/>
            <w:tcBorders>
              <w:top w:val="nil"/>
              <w:left w:val="single" w:sz="4" w:space="0" w:color="auto"/>
              <w:bottom w:val="single" w:sz="4" w:space="0" w:color="auto"/>
              <w:right w:val="single" w:sz="4" w:space="0" w:color="auto"/>
            </w:tcBorders>
            <w:vAlign w:val="center"/>
          </w:tcPr>
          <w:p w14:paraId="7AE4C59B" w14:textId="77777777" w:rsidR="00875412" w:rsidRPr="009036DA" w:rsidRDefault="00875412" w:rsidP="00C82905">
            <w:pPr>
              <w:spacing w:after="0" w:line="240" w:lineRule="auto"/>
              <w:rPr>
                <w:rFonts w:ascii="Wingdings" w:hAnsi="Wingdings"/>
                <w:b/>
                <w:bCs/>
                <w:color w:val="00B050"/>
                <w:sz w:val="48"/>
                <w:szCs w:val="48"/>
                <w:lang w:eastAsia="en-GB"/>
              </w:rPr>
            </w:pPr>
          </w:p>
        </w:tc>
      </w:tr>
    </w:tbl>
    <w:p w14:paraId="35207BE8" w14:textId="77777777" w:rsidR="00FB4407" w:rsidRPr="009036DA" w:rsidRDefault="00FB4407" w:rsidP="00317606">
      <w:pPr>
        <w:spacing w:after="120" w:line="288" w:lineRule="auto"/>
        <w:jc w:val="both"/>
        <w:rPr>
          <w:sz w:val="22"/>
        </w:rPr>
      </w:pPr>
    </w:p>
    <w:p w14:paraId="3A3E51B1" w14:textId="77777777" w:rsidR="00FB4407" w:rsidRPr="009036DA" w:rsidRDefault="00FB4407" w:rsidP="009F47A8">
      <w:pPr>
        <w:spacing w:after="120" w:line="288" w:lineRule="auto"/>
        <w:rPr>
          <w:rStyle w:val="SubtleReference"/>
        </w:rPr>
      </w:pPr>
      <w:r w:rsidRPr="009036DA">
        <w:rPr>
          <w:rStyle w:val="SubtleReference"/>
        </w:rPr>
        <w:t>Comments:</w:t>
      </w:r>
    </w:p>
    <w:p w14:paraId="03D0C80C" w14:textId="77777777" w:rsidR="00FB4407" w:rsidRPr="009036DA" w:rsidRDefault="00FB4407" w:rsidP="004B3000">
      <w:pPr>
        <w:pStyle w:val="ListParagraph"/>
        <w:numPr>
          <w:ilvl w:val="0"/>
          <w:numId w:val="20"/>
        </w:numPr>
        <w:spacing w:before="120" w:after="120" w:line="288" w:lineRule="auto"/>
        <w:jc w:val="both"/>
        <w:rPr>
          <w:sz w:val="22"/>
        </w:rPr>
      </w:pPr>
      <w:r w:rsidRPr="009036DA">
        <w:rPr>
          <w:sz w:val="22"/>
        </w:rPr>
        <w:t>Lancashire has carried out good placement stability work through research projects and improved processes, which has resulted in better performance and improved stability.</w:t>
      </w:r>
    </w:p>
    <w:p w14:paraId="7B97388A" w14:textId="77777777" w:rsidR="00FB4407" w:rsidRPr="009036DA" w:rsidRDefault="00FB4407" w:rsidP="004B3000">
      <w:pPr>
        <w:pStyle w:val="ListParagraph"/>
        <w:numPr>
          <w:ilvl w:val="0"/>
          <w:numId w:val="20"/>
        </w:numPr>
        <w:spacing w:before="120" w:after="120" w:line="288" w:lineRule="auto"/>
        <w:jc w:val="both"/>
        <w:rPr>
          <w:sz w:val="22"/>
        </w:rPr>
      </w:pPr>
      <w:r w:rsidRPr="009036DA">
        <w:rPr>
          <w:sz w:val="22"/>
        </w:rPr>
        <w:t>Fewer children than ever ha</w:t>
      </w:r>
      <w:r w:rsidR="00CF11CA" w:rsidRPr="009036DA">
        <w:rPr>
          <w:sz w:val="22"/>
        </w:rPr>
        <w:t>ve more than 2 placement moves</w:t>
      </w:r>
      <w:r w:rsidR="00360678" w:rsidRPr="009036DA">
        <w:rPr>
          <w:sz w:val="22"/>
        </w:rPr>
        <w:t>.</w:t>
      </w:r>
    </w:p>
    <w:p w14:paraId="73611192" w14:textId="77777777" w:rsidR="00FB4407" w:rsidRPr="009036DA" w:rsidRDefault="00FB4407" w:rsidP="004B3000">
      <w:pPr>
        <w:pStyle w:val="ListParagraph"/>
        <w:numPr>
          <w:ilvl w:val="0"/>
          <w:numId w:val="20"/>
        </w:numPr>
        <w:spacing w:before="120" w:after="120" w:line="288" w:lineRule="auto"/>
        <w:jc w:val="both"/>
        <w:rPr>
          <w:sz w:val="22"/>
        </w:rPr>
      </w:pPr>
      <w:r w:rsidRPr="009036DA">
        <w:rPr>
          <w:sz w:val="22"/>
        </w:rPr>
        <w:t>Young people are happy that this is less than last year however they would like to see more research and reasons into what causes placement moves.</w:t>
      </w:r>
    </w:p>
    <w:p w14:paraId="6DEC0F96" w14:textId="77777777" w:rsidR="00FB4407" w:rsidRPr="009036DA" w:rsidRDefault="007D01D4" w:rsidP="00A876BB">
      <w:pPr>
        <w:pStyle w:val="ListParagraph"/>
        <w:numPr>
          <w:ilvl w:val="0"/>
          <w:numId w:val="20"/>
        </w:numPr>
        <w:spacing w:before="120" w:after="120" w:line="288" w:lineRule="auto"/>
        <w:jc w:val="both"/>
        <w:rPr>
          <w:sz w:val="22"/>
        </w:rPr>
      </w:pPr>
      <w:r w:rsidRPr="009036DA">
        <w:rPr>
          <w:sz w:val="22"/>
        </w:rPr>
        <w:t>Young people are happy that the number has reduced but feel that placements could be better researched to suit the needs of the young person which may reduce moves.</w:t>
      </w:r>
    </w:p>
    <w:p w14:paraId="330CE585" w14:textId="10CDF0B1" w:rsidR="00875412" w:rsidRPr="009036DA" w:rsidRDefault="00875412" w:rsidP="00A876BB">
      <w:pPr>
        <w:pStyle w:val="ListParagraph"/>
        <w:numPr>
          <w:ilvl w:val="0"/>
          <w:numId w:val="20"/>
        </w:numPr>
        <w:spacing w:before="120" w:after="120" w:line="288" w:lineRule="auto"/>
        <w:jc w:val="both"/>
        <w:rPr>
          <w:rStyle w:val="IntenseReference"/>
          <w:b w:val="0"/>
          <w:bCs w:val="0"/>
          <w:smallCaps w:val="0"/>
          <w:color w:val="auto"/>
          <w:spacing w:val="0"/>
          <w:sz w:val="22"/>
          <w:u w:val="none"/>
        </w:rPr>
      </w:pPr>
      <w:r w:rsidRPr="009036DA">
        <w:rPr>
          <w:sz w:val="22"/>
        </w:rPr>
        <w:t>Young people are happy that the figure is low and that the target has been met, however they would like current performance to further improve.</w:t>
      </w:r>
    </w:p>
    <w:p w14:paraId="141EEFF2" w14:textId="77777777" w:rsidR="00FB4407" w:rsidRPr="00CD5A72" w:rsidRDefault="00FB4407" w:rsidP="00A876BB">
      <w:pPr>
        <w:spacing w:after="120" w:line="288" w:lineRule="auto"/>
        <w:rPr>
          <w:rStyle w:val="IntenseReference"/>
        </w:rPr>
      </w:pPr>
      <w:r w:rsidRPr="00CD5A72">
        <w:rPr>
          <w:rStyle w:val="IntenseReference"/>
        </w:rPr>
        <w:t>Stability of Placements of CLA: Length of Placements</w:t>
      </w:r>
    </w:p>
    <w:p w14:paraId="01E7D389" w14:textId="77777777" w:rsidR="00FB4407" w:rsidRPr="00CD5A72" w:rsidRDefault="00FB4407" w:rsidP="00000C13">
      <w:pPr>
        <w:spacing w:after="120" w:line="288" w:lineRule="auto"/>
        <w:jc w:val="both"/>
        <w:rPr>
          <w:sz w:val="22"/>
        </w:rPr>
      </w:pPr>
      <w:r w:rsidRPr="00CD5A72">
        <w:rPr>
          <w:sz w:val="22"/>
        </w:rPr>
        <w:t>How many children looked after have been in their current placement for at least 2 years:</w:t>
      </w:r>
    </w:p>
    <w:p w14:paraId="35AAE039" w14:textId="77777777" w:rsidR="00FB4407" w:rsidRPr="00CD5A72" w:rsidRDefault="00FB4407" w:rsidP="00000C13">
      <w:pPr>
        <w:pStyle w:val="ListParagraph"/>
        <w:numPr>
          <w:ilvl w:val="0"/>
          <w:numId w:val="4"/>
        </w:numPr>
        <w:spacing w:after="120" w:line="288" w:lineRule="auto"/>
        <w:jc w:val="both"/>
        <w:rPr>
          <w:sz w:val="22"/>
        </w:rPr>
      </w:pPr>
      <w:r w:rsidRPr="00CD5A72">
        <w:rPr>
          <w:sz w:val="22"/>
        </w:rPr>
        <w:t xml:space="preserve">Out of 100 children looked after, Lancashire targets to have more than </w:t>
      </w:r>
      <w:r w:rsidRPr="00CD5A72">
        <w:rPr>
          <w:b/>
          <w:sz w:val="22"/>
        </w:rPr>
        <w:t>72</w:t>
      </w:r>
      <w:r w:rsidRPr="00CD5A72">
        <w:rPr>
          <w:sz w:val="22"/>
        </w:rPr>
        <w:t xml:space="preserve"> children looked after settled </w:t>
      </w:r>
      <w:r w:rsidR="00CF11CA" w:rsidRPr="00CD5A72">
        <w:rPr>
          <w:sz w:val="22"/>
        </w:rPr>
        <w:t>at least two years</w:t>
      </w:r>
      <w:r w:rsidRPr="00CD5A72">
        <w:rPr>
          <w:sz w:val="22"/>
        </w:rPr>
        <w:t xml:space="preserve"> in their current placement.</w:t>
      </w:r>
    </w:p>
    <w:p w14:paraId="7768C00D" w14:textId="1CF95D37" w:rsidR="00FB4407" w:rsidRPr="00CD5A72" w:rsidRDefault="00CD5A72" w:rsidP="00000C13">
      <w:pPr>
        <w:pStyle w:val="ListParagraph"/>
        <w:numPr>
          <w:ilvl w:val="0"/>
          <w:numId w:val="4"/>
        </w:numPr>
        <w:spacing w:after="120" w:line="288" w:lineRule="auto"/>
        <w:jc w:val="both"/>
        <w:rPr>
          <w:sz w:val="22"/>
        </w:rPr>
      </w:pPr>
      <w:r w:rsidRPr="00CD5A72">
        <w:rPr>
          <w:sz w:val="22"/>
        </w:rPr>
        <w:t>June</w:t>
      </w:r>
      <w:r w:rsidR="00ED6155" w:rsidRPr="00CD5A72">
        <w:rPr>
          <w:sz w:val="22"/>
        </w:rPr>
        <w:t xml:space="preserve"> 2015</w:t>
      </w:r>
      <w:r w:rsidR="00FB4407" w:rsidRPr="00CD5A72">
        <w:rPr>
          <w:sz w:val="22"/>
        </w:rPr>
        <w:t xml:space="preserve"> information shows that</w:t>
      </w:r>
      <w:r w:rsidRPr="00CD5A72">
        <w:rPr>
          <w:sz w:val="22"/>
        </w:rPr>
        <w:t xml:space="preserve"> over</w:t>
      </w:r>
      <w:r w:rsidR="00FB4407" w:rsidRPr="00CD5A72">
        <w:rPr>
          <w:sz w:val="22"/>
        </w:rPr>
        <w:t xml:space="preserve"> </w:t>
      </w:r>
      <w:r w:rsidR="00CF11CA" w:rsidRPr="00CD5A72">
        <w:rPr>
          <w:b/>
          <w:sz w:val="22"/>
        </w:rPr>
        <w:t>6</w:t>
      </w:r>
      <w:r w:rsidR="00307F37" w:rsidRPr="00CD5A72">
        <w:rPr>
          <w:b/>
          <w:sz w:val="22"/>
        </w:rPr>
        <w:t>8</w:t>
      </w:r>
      <w:r w:rsidR="00FB4407" w:rsidRPr="00CD5A72">
        <w:rPr>
          <w:sz w:val="22"/>
        </w:rPr>
        <w:t xml:space="preserve"> out of 100 children looked are in a long and stable placement, which is good performance, but below our target.</w:t>
      </w:r>
    </w:p>
    <w:p w14:paraId="089C9F4C" w14:textId="77EBEF67" w:rsidR="00FB4407" w:rsidRPr="00CD5A72" w:rsidRDefault="00FB4407" w:rsidP="00000C13">
      <w:pPr>
        <w:pStyle w:val="ListParagraph"/>
        <w:numPr>
          <w:ilvl w:val="0"/>
          <w:numId w:val="4"/>
        </w:numPr>
        <w:spacing w:after="120" w:line="288" w:lineRule="auto"/>
        <w:jc w:val="both"/>
        <w:rPr>
          <w:sz w:val="22"/>
        </w:rPr>
      </w:pPr>
      <w:r w:rsidRPr="00CD5A72">
        <w:rPr>
          <w:sz w:val="22"/>
        </w:rPr>
        <w:t xml:space="preserve">Current performance </w:t>
      </w:r>
      <w:r w:rsidR="00832D6E" w:rsidRPr="00CD5A72">
        <w:rPr>
          <w:sz w:val="22"/>
        </w:rPr>
        <w:t xml:space="preserve">is </w:t>
      </w:r>
      <w:r w:rsidR="004722EE" w:rsidRPr="00CD5A72">
        <w:rPr>
          <w:sz w:val="22"/>
        </w:rPr>
        <w:t>above</w:t>
      </w:r>
      <w:r w:rsidR="00307F37" w:rsidRPr="00CD5A72">
        <w:rPr>
          <w:sz w:val="22"/>
        </w:rPr>
        <w:t xml:space="preserve"> 2013/14 performance of </w:t>
      </w:r>
      <w:r w:rsidR="00307F37" w:rsidRPr="00CD5A72">
        <w:rPr>
          <w:b/>
          <w:sz w:val="22"/>
        </w:rPr>
        <w:t xml:space="preserve">66 </w:t>
      </w:r>
      <w:r w:rsidR="00307F37" w:rsidRPr="00CD5A72">
        <w:rPr>
          <w:sz w:val="22"/>
        </w:rPr>
        <w:t>out of 100, but slightly below last</w:t>
      </w:r>
      <w:r w:rsidR="004722EE" w:rsidRPr="00CD5A72">
        <w:rPr>
          <w:sz w:val="22"/>
        </w:rPr>
        <w:t xml:space="preserve"> year's performance (</w:t>
      </w:r>
      <w:r w:rsidR="00307F37" w:rsidRPr="00CD5A72">
        <w:rPr>
          <w:b/>
          <w:sz w:val="22"/>
        </w:rPr>
        <w:t>69</w:t>
      </w:r>
      <w:r w:rsidR="004722EE" w:rsidRPr="00CD5A72">
        <w:rPr>
          <w:sz w:val="22"/>
        </w:rPr>
        <w:t xml:space="preserve"> out of 100).</w:t>
      </w:r>
    </w:p>
    <w:p w14:paraId="7B97E1B9" w14:textId="77777777" w:rsidR="00FB4407" w:rsidRPr="00335C79" w:rsidRDefault="00FB4407" w:rsidP="00556A45">
      <w:pPr>
        <w:spacing w:after="120" w:line="288" w:lineRule="auto"/>
        <w:jc w:val="center"/>
        <w:rPr>
          <w:noProof/>
          <w:sz w:val="22"/>
          <w:highlight w:val="yellow"/>
          <w:lang w:eastAsia="en-GB"/>
        </w:rPr>
      </w:pPr>
    </w:p>
    <w:p w14:paraId="0CBB827A" w14:textId="2B9FB80E" w:rsidR="004722EE" w:rsidRPr="00335C79" w:rsidRDefault="00CD5A72" w:rsidP="00556A45">
      <w:pPr>
        <w:spacing w:after="120" w:line="288" w:lineRule="auto"/>
        <w:jc w:val="center"/>
        <w:rPr>
          <w:sz w:val="22"/>
          <w:highlight w:val="yellow"/>
        </w:rPr>
      </w:pPr>
      <w:r>
        <w:rPr>
          <w:noProof/>
          <w:lang w:eastAsia="en-GB"/>
        </w:rPr>
        <w:lastRenderedPageBreak/>
        <w:drawing>
          <wp:inline distT="0" distB="0" distL="0" distR="0" wp14:anchorId="4D61A489" wp14:editId="21EECABD">
            <wp:extent cx="4552156" cy="2778125"/>
            <wp:effectExtent l="0" t="0" r="1270" b="31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0893700" w14:textId="77777777" w:rsidR="00FB4407" w:rsidRPr="00CD5A72" w:rsidRDefault="00FB4407" w:rsidP="009F47A8">
      <w:pPr>
        <w:spacing w:after="120" w:line="288" w:lineRule="auto"/>
        <w:rPr>
          <w:rStyle w:val="SubtleReference"/>
        </w:rPr>
      </w:pPr>
      <w:r w:rsidRPr="00CD5A72">
        <w:rPr>
          <w:rStyle w:val="SubtleReference"/>
        </w:rPr>
        <w:t>Comments:</w:t>
      </w:r>
    </w:p>
    <w:p w14:paraId="7B0FA2B5" w14:textId="77777777" w:rsidR="00FB4407" w:rsidRPr="00CD5A72" w:rsidRDefault="00FB4407" w:rsidP="00F546B4">
      <w:pPr>
        <w:pStyle w:val="ListParagraph"/>
        <w:numPr>
          <w:ilvl w:val="0"/>
          <w:numId w:val="24"/>
        </w:numPr>
        <w:spacing w:before="120" w:after="120" w:line="288" w:lineRule="auto"/>
        <w:jc w:val="both"/>
        <w:rPr>
          <w:sz w:val="22"/>
        </w:rPr>
      </w:pPr>
      <w:smartTag w:uri="urn:schemas-microsoft-com:office:smarttags" w:element="place">
        <w:r w:rsidRPr="00CD5A72">
          <w:rPr>
            <w:sz w:val="22"/>
          </w:rPr>
          <w:t>Lancashire</w:t>
        </w:r>
      </w:smartTag>
      <w:r w:rsidRPr="00CD5A72">
        <w:rPr>
          <w:sz w:val="22"/>
        </w:rPr>
        <w:t xml:space="preserve"> has carried out good work on placement stability through research projects and improved processes.</w:t>
      </w:r>
    </w:p>
    <w:p w14:paraId="21E2044C" w14:textId="77777777" w:rsidR="00FB4407" w:rsidRPr="00CD5A72" w:rsidRDefault="00FB4407" w:rsidP="00556A45">
      <w:pPr>
        <w:pStyle w:val="ListParagraph"/>
        <w:numPr>
          <w:ilvl w:val="0"/>
          <w:numId w:val="25"/>
        </w:numPr>
        <w:spacing w:before="120" w:after="120" w:line="288" w:lineRule="auto"/>
        <w:jc w:val="both"/>
        <w:rPr>
          <w:sz w:val="22"/>
        </w:rPr>
      </w:pPr>
      <w:r w:rsidRPr="00CD5A72">
        <w:rPr>
          <w:sz w:val="22"/>
        </w:rPr>
        <w:t>This has resulted in better performance and improved stability for children looked after.</w:t>
      </w:r>
    </w:p>
    <w:p w14:paraId="76CBABE7" w14:textId="43E7A1E9" w:rsidR="008B3909" w:rsidRPr="00CD5A72" w:rsidRDefault="00307F37" w:rsidP="00556A45">
      <w:pPr>
        <w:pStyle w:val="ListParagraph"/>
        <w:numPr>
          <w:ilvl w:val="0"/>
          <w:numId w:val="25"/>
        </w:numPr>
        <w:spacing w:before="120" w:after="120" w:line="288" w:lineRule="auto"/>
        <w:jc w:val="both"/>
        <w:rPr>
          <w:sz w:val="22"/>
        </w:rPr>
      </w:pPr>
      <w:r w:rsidRPr="00CD5A72">
        <w:rPr>
          <w:sz w:val="22"/>
        </w:rPr>
        <w:t>2014/15</w:t>
      </w:r>
      <w:r w:rsidR="00ED6155" w:rsidRPr="00CD5A72">
        <w:rPr>
          <w:sz w:val="22"/>
        </w:rPr>
        <w:t xml:space="preserve"> </w:t>
      </w:r>
      <w:r w:rsidR="008B3909" w:rsidRPr="00CD5A72">
        <w:rPr>
          <w:sz w:val="22"/>
        </w:rPr>
        <w:t>pe</w:t>
      </w:r>
      <w:r w:rsidR="00F033B4" w:rsidRPr="00CD5A72">
        <w:rPr>
          <w:sz w:val="22"/>
        </w:rPr>
        <w:t xml:space="preserve">rformance </w:t>
      </w:r>
      <w:r w:rsidRPr="00CD5A72">
        <w:rPr>
          <w:sz w:val="22"/>
        </w:rPr>
        <w:t>improved from the previous year but</w:t>
      </w:r>
      <w:r w:rsidR="00F033B4" w:rsidRPr="00CD5A72">
        <w:rPr>
          <w:sz w:val="22"/>
        </w:rPr>
        <w:t xml:space="preserve"> remains below the target of </w:t>
      </w:r>
      <w:r w:rsidR="007771B6" w:rsidRPr="00CD5A72">
        <w:rPr>
          <w:b/>
          <w:sz w:val="22"/>
        </w:rPr>
        <w:t>72.6%</w:t>
      </w:r>
      <w:r w:rsidR="007771B6" w:rsidRPr="00CD5A72">
        <w:rPr>
          <w:sz w:val="22"/>
        </w:rPr>
        <w:t>.</w:t>
      </w:r>
      <w:r w:rsidR="00ED6155" w:rsidRPr="00CD5A72">
        <w:rPr>
          <w:sz w:val="22"/>
        </w:rPr>
        <w:t xml:space="preserve"> This has gradually improved throughout the year from </w:t>
      </w:r>
      <w:r w:rsidR="00ED6155" w:rsidRPr="00CD5A72">
        <w:rPr>
          <w:b/>
          <w:sz w:val="22"/>
        </w:rPr>
        <w:t>65.8%</w:t>
      </w:r>
      <w:r w:rsidR="00ED6155" w:rsidRPr="00CD5A72">
        <w:rPr>
          <w:sz w:val="22"/>
        </w:rPr>
        <w:t xml:space="preserve"> in March 2014.</w:t>
      </w:r>
    </w:p>
    <w:p w14:paraId="127D6E68" w14:textId="7C8DFADC" w:rsidR="0056267F" w:rsidRPr="00CD5A72" w:rsidRDefault="0056267F" w:rsidP="00556A45">
      <w:pPr>
        <w:pStyle w:val="ListParagraph"/>
        <w:numPr>
          <w:ilvl w:val="0"/>
          <w:numId w:val="25"/>
        </w:numPr>
        <w:spacing w:before="120" w:after="120" w:line="288" w:lineRule="auto"/>
        <w:jc w:val="both"/>
        <w:rPr>
          <w:sz w:val="22"/>
        </w:rPr>
      </w:pPr>
      <w:r w:rsidRPr="00CD5A72">
        <w:rPr>
          <w:sz w:val="22"/>
        </w:rPr>
        <w:t>Young people are happy that this figure has improved recently but wonder what more can be done to improve placement stability as the target has not been met.</w:t>
      </w:r>
    </w:p>
    <w:p w14:paraId="7E8EA404" w14:textId="77777777" w:rsidR="00FB4407" w:rsidRPr="00335C79" w:rsidRDefault="00FB4407" w:rsidP="00FB13A7">
      <w:pPr>
        <w:spacing w:before="120" w:after="120" w:line="288" w:lineRule="auto"/>
        <w:jc w:val="both"/>
        <w:rPr>
          <w:sz w:val="22"/>
          <w:highlight w:val="yellow"/>
        </w:rPr>
      </w:pPr>
    </w:p>
    <w:p w14:paraId="41372B42" w14:textId="77777777" w:rsidR="00FB4407" w:rsidRPr="00682229" w:rsidRDefault="00FB4407" w:rsidP="00342C21">
      <w:pPr>
        <w:spacing w:after="120" w:line="288" w:lineRule="auto"/>
        <w:rPr>
          <w:rStyle w:val="IntenseReference"/>
        </w:rPr>
      </w:pPr>
      <w:r w:rsidRPr="00682229">
        <w:rPr>
          <w:rStyle w:val="IntenseReference"/>
        </w:rPr>
        <w:t>Children Missing from Care</w:t>
      </w:r>
    </w:p>
    <w:p w14:paraId="7C835BEA" w14:textId="77777777" w:rsidR="00FB4407" w:rsidRPr="00682229" w:rsidRDefault="00FB4407" w:rsidP="00F26B57">
      <w:pPr>
        <w:spacing w:before="120" w:after="120" w:line="288" w:lineRule="auto"/>
        <w:jc w:val="both"/>
        <w:rPr>
          <w:sz w:val="22"/>
        </w:rPr>
      </w:pPr>
      <w:r w:rsidRPr="00682229">
        <w:rPr>
          <w:sz w:val="22"/>
        </w:rPr>
        <w:t>Lancashire County Council and its partners are changing processes for children missing from care, and there will be a new protocol whereby young people are not reported missing straight away in case they are just running late. Also the Police will now be able to change missing to absent on the young person's record.</w:t>
      </w:r>
    </w:p>
    <w:p w14:paraId="566A1126" w14:textId="77777777" w:rsidR="00FB4407" w:rsidRPr="00682229" w:rsidRDefault="00FB4407" w:rsidP="00342C21">
      <w:pPr>
        <w:spacing w:before="120" w:after="120" w:line="288" w:lineRule="auto"/>
        <w:jc w:val="both"/>
        <w:rPr>
          <w:sz w:val="22"/>
        </w:rPr>
      </w:pPr>
      <w:r w:rsidRPr="00682229">
        <w:rPr>
          <w:sz w:val="22"/>
        </w:rPr>
        <w:t>Lancashire County Council works with multiple agencies including Lancashire Police, to monitor the levels of children missing from care and this year's information is below:</w:t>
      </w:r>
    </w:p>
    <w:tbl>
      <w:tblPr>
        <w:tblW w:w="7074" w:type="dxa"/>
        <w:jc w:val="center"/>
        <w:tblLayout w:type="fixed"/>
        <w:tblCellMar>
          <w:left w:w="0" w:type="dxa"/>
          <w:right w:w="0" w:type="dxa"/>
        </w:tblCellMar>
        <w:tblLook w:val="00A0" w:firstRow="1" w:lastRow="0" w:firstColumn="1" w:lastColumn="0" w:noHBand="0" w:noVBand="0"/>
      </w:tblPr>
      <w:tblGrid>
        <w:gridCol w:w="4225"/>
        <w:gridCol w:w="1424"/>
        <w:gridCol w:w="1425"/>
      </w:tblGrid>
      <w:tr w:rsidR="00326EB5" w:rsidRPr="00682229" w14:paraId="07EBB44A" w14:textId="77777777" w:rsidTr="00326EB5">
        <w:trPr>
          <w:trHeight w:val="340"/>
          <w:jc w:val="center"/>
        </w:trPr>
        <w:tc>
          <w:tcPr>
            <w:tcW w:w="4225" w:type="dxa"/>
            <w:tcBorders>
              <w:top w:val="nil"/>
              <w:bottom w:val="single" w:sz="8" w:space="0" w:color="auto"/>
              <w:right w:val="single" w:sz="8" w:space="0" w:color="auto"/>
            </w:tcBorders>
            <w:noWrap/>
            <w:tcMar>
              <w:top w:w="0" w:type="dxa"/>
              <w:left w:w="108" w:type="dxa"/>
              <w:bottom w:w="0" w:type="dxa"/>
              <w:right w:w="108" w:type="dxa"/>
            </w:tcMar>
            <w:vAlign w:val="bottom"/>
          </w:tcPr>
          <w:p w14:paraId="3E20C36F" w14:textId="77777777" w:rsidR="00326EB5" w:rsidRPr="00682229" w:rsidRDefault="00326EB5" w:rsidP="00326EB5">
            <w:pPr>
              <w:spacing w:after="0" w:line="240" w:lineRule="auto"/>
              <w:rPr>
                <w:rFonts w:ascii="Calibri" w:hAnsi="Calibri"/>
                <w:szCs w:val="24"/>
              </w:rPr>
            </w:pPr>
          </w:p>
        </w:tc>
        <w:tc>
          <w:tcPr>
            <w:tcW w:w="1424" w:type="dxa"/>
            <w:tcBorders>
              <w:top w:val="single" w:sz="8" w:space="0" w:color="auto"/>
              <w:left w:val="nil"/>
              <w:bottom w:val="single" w:sz="8" w:space="0" w:color="auto"/>
              <w:right w:val="single" w:sz="8" w:space="0" w:color="auto"/>
            </w:tcBorders>
            <w:shd w:val="clear" w:color="auto" w:fill="EAF1DD"/>
            <w:noWrap/>
            <w:tcMar>
              <w:top w:w="0" w:type="dxa"/>
              <w:left w:w="108" w:type="dxa"/>
              <w:bottom w:w="0" w:type="dxa"/>
              <w:right w:w="108" w:type="dxa"/>
            </w:tcMar>
            <w:vAlign w:val="center"/>
          </w:tcPr>
          <w:p w14:paraId="09F650FE" w14:textId="77777777" w:rsidR="00326EB5" w:rsidRPr="00682229" w:rsidRDefault="00326EB5" w:rsidP="00326EB5">
            <w:pPr>
              <w:spacing w:after="0" w:line="240" w:lineRule="auto"/>
              <w:jc w:val="center"/>
              <w:rPr>
                <w:rFonts w:ascii="Calibri" w:hAnsi="Calibri"/>
                <w:b/>
                <w:szCs w:val="24"/>
              </w:rPr>
            </w:pPr>
            <w:r w:rsidRPr="00682229">
              <w:rPr>
                <w:rFonts w:ascii="Calibri" w:hAnsi="Calibri"/>
                <w:b/>
                <w:szCs w:val="24"/>
              </w:rPr>
              <w:t>2013/14</w:t>
            </w:r>
          </w:p>
        </w:tc>
        <w:tc>
          <w:tcPr>
            <w:tcW w:w="1425" w:type="dxa"/>
            <w:tcBorders>
              <w:top w:val="single" w:sz="8" w:space="0" w:color="auto"/>
              <w:left w:val="nil"/>
              <w:bottom w:val="single" w:sz="8" w:space="0" w:color="auto"/>
              <w:right w:val="single" w:sz="8" w:space="0" w:color="auto"/>
            </w:tcBorders>
            <w:shd w:val="clear" w:color="auto" w:fill="EAF1DD"/>
            <w:vAlign w:val="center"/>
          </w:tcPr>
          <w:p w14:paraId="498DE7AE" w14:textId="5481FE2E" w:rsidR="00326EB5" w:rsidRPr="00682229" w:rsidRDefault="00326EB5" w:rsidP="00326EB5">
            <w:pPr>
              <w:spacing w:after="0" w:line="240" w:lineRule="auto"/>
              <w:jc w:val="center"/>
              <w:rPr>
                <w:rFonts w:ascii="Calibri" w:hAnsi="Calibri"/>
                <w:b/>
                <w:szCs w:val="24"/>
              </w:rPr>
            </w:pPr>
            <w:r w:rsidRPr="00682229">
              <w:rPr>
                <w:rFonts w:ascii="Calibri" w:hAnsi="Calibri"/>
                <w:b/>
                <w:szCs w:val="24"/>
              </w:rPr>
              <w:t xml:space="preserve">2014/15 </w:t>
            </w:r>
          </w:p>
        </w:tc>
      </w:tr>
      <w:tr w:rsidR="00326EB5" w:rsidRPr="00682229" w14:paraId="39C0EFA1" w14:textId="77777777" w:rsidTr="00326EB5">
        <w:trPr>
          <w:trHeight w:val="340"/>
          <w:jc w:val="center"/>
        </w:trPr>
        <w:tc>
          <w:tcPr>
            <w:tcW w:w="42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8703699" w14:textId="77777777" w:rsidR="00326EB5" w:rsidRPr="00682229" w:rsidRDefault="00326EB5" w:rsidP="00326EB5">
            <w:pPr>
              <w:spacing w:after="0" w:line="240" w:lineRule="auto"/>
              <w:rPr>
                <w:rFonts w:ascii="Calibri" w:hAnsi="Calibri"/>
                <w:szCs w:val="24"/>
              </w:rPr>
            </w:pPr>
            <w:r w:rsidRPr="00682229">
              <w:rPr>
                <w:rFonts w:ascii="Calibri" w:hAnsi="Calibri"/>
                <w:color w:val="000000"/>
                <w:szCs w:val="24"/>
              </w:rPr>
              <w:t>Lancashire CLA missing</w:t>
            </w:r>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3EB82DF" w14:textId="77777777" w:rsidR="00326EB5" w:rsidRPr="00682229" w:rsidRDefault="00326EB5" w:rsidP="00326EB5">
            <w:pPr>
              <w:spacing w:after="0" w:line="240" w:lineRule="auto"/>
              <w:jc w:val="center"/>
              <w:rPr>
                <w:rFonts w:ascii="Calibri" w:hAnsi="Calibri"/>
                <w:szCs w:val="24"/>
              </w:rPr>
            </w:pPr>
            <w:r w:rsidRPr="00682229">
              <w:rPr>
                <w:rFonts w:ascii="Calibri" w:hAnsi="Calibri"/>
                <w:szCs w:val="24"/>
              </w:rPr>
              <w:t>355</w:t>
            </w:r>
          </w:p>
        </w:tc>
        <w:tc>
          <w:tcPr>
            <w:tcW w:w="1425" w:type="dxa"/>
            <w:tcBorders>
              <w:top w:val="nil"/>
              <w:left w:val="nil"/>
              <w:bottom w:val="single" w:sz="8" w:space="0" w:color="auto"/>
              <w:right w:val="single" w:sz="8" w:space="0" w:color="auto"/>
            </w:tcBorders>
            <w:vAlign w:val="center"/>
          </w:tcPr>
          <w:p w14:paraId="7D085F14" w14:textId="3634CE95" w:rsidR="00326EB5" w:rsidRPr="00682229" w:rsidRDefault="00326EB5" w:rsidP="00326EB5">
            <w:pPr>
              <w:spacing w:after="0" w:line="240" w:lineRule="auto"/>
              <w:jc w:val="center"/>
              <w:rPr>
                <w:rFonts w:ascii="Calibri" w:hAnsi="Calibri"/>
                <w:szCs w:val="24"/>
              </w:rPr>
            </w:pPr>
            <w:r w:rsidRPr="00682229">
              <w:rPr>
                <w:rFonts w:ascii="Calibri" w:hAnsi="Calibri"/>
                <w:szCs w:val="24"/>
              </w:rPr>
              <w:t>361</w:t>
            </w:r>
          </w:p>
        </w:tc>
      </w:tr>
      <w:tr w:rsidR="00326EB5" w:rsidRPr="00682229" w14:paraId="19886565" w14:textId="77777777" w:rsidTr="00326EB5">
        <w:trPr>
          <w:trHeight w:val="340"/>
          <w:jc w:val="center"/>
        </w:trPr>
        <w:tc>
          <w:tcPr>
            <w:tcW w:w="42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39B5B401" w14:textId="77777777" w:rsidR="00326EB5" w:rsidRPr="00682229" w:rsidRDefault="00326EB5" w:rsidP="00326EB5">
            <w:pPr>
              <w:spacing w:after="0" w:line="240" w:lineRule="auto"/>
              <w:rPr>
                <w:rFonts w:ascii="Calibri" w:hAnsi="Calibri"/>
                <w:szCs w:val="24"/>
              </w:rPr>
            </w:pPr>
            <w:r w:rsidRPr="00682229">
              <w:rPr>
                <w:rFonts w:ascii="Calibri" w:hAnsi="Calibri"/>
                <w:color w:val="000000"/>
                <w:szCs w:val="24"/>
              </w:rPr>
              <w:t>Number CLA from other LAs missing</w:t>
            </w:r>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AC74CE7" w14:textId="77777777" w:rsidR="00326EB5" w:rsidRPr="00682229" w:rsidRDefault="00326EB5" w:rsidP="00326EB5">
            <w:pPr>
              <w:spacing w:after="0" w:line="240" w:lineRule="auto"/>
              <w:jc w:val="center"/>
              <w:rPr>
                <w:rFonts w:ascii="Calibri" w:hAnsi="Calibri"/>
                <w:szCs w:val="24"/>
              </w:rPr>
            </w:pPr>
            <w:r w:rsidRPr="00682229">
              <w:rPr>
                <w:rFonts w:ascii="Calibri" w:hAnsi="Calibri"/>
                <w:szCs w:val="24"/>
              </w:rPr>
              <w:t>355</w:t>
            </w:r>
          </w:p>
        </w:tc>
        <w:tc>
          <w:tcPr>
            <w:tcW w:w="1425" w:type="dxa"/>
            <w:tcBorders>
              <w:top w:val="nil"/>
              <w:left w:val="nil"/>
              <w:bottom w:val="single" w:sz="8" w:space="0" w:color="auto"/>
              <w:right w:val="single" w:sz="8" w:space="0" w:color="auto"/>
            </w:tcBorders>
            <w:vAlign w:val="center"/>
          </w:tcPr>
          <w:p w14:paraId="1ADDF8C9" w14:textId="6C026079" w:rsidR="00326EB5" w:rsidRPr="00682229" w:rsidRDefault="00326EB5" w:rsidP="00326EB5">
            <w:pPr>
              <w:spacing w:after="0" w:line="240" w:lineRule="auto"/>
              <w:jc w:val="center"/>
              <w:rPr>
                <w:rFonts w:ascii="Calibri" w:hAnsi="Calibri"/>
                <w:szCs w:val="24"/>
              </w:rPr>
            </w:pPr>
            <w:r w:rsidRPr="00682229">
              <w:rPr>
                <w:rFonts w:ascii="Calibri" w:hAnsi="Calibri"/>
                <w:szCs w:val="24"/>
              </w:rPr>
              <w:t>365</w:t>
            </w:r>
          </w:p>
        </w:tc>
      </w:tr>
      <w:tr w:rsidR="00326EB5" w:rsidRPr="00682229" w14:paraId="1807B643" w14:textId="77777777" w:rsidTr="00326EB5">
        <w:trPr>
          <w:trHeight w:val="340"/>
          <w:jc w:val="center"/>
        </w:trPr>
        <w:tc>
          <w:tcPr>
            <w:tcW w:w="42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20A6A13F" w14:textId="77777777" w:rsidR="00326EB5" w:rsidRPr="00682229" w:rsidRDefault="00326EB5" w:rsidP="00326EB5">
            <w:pPr>
              <w:spacing w:after="0" w:line="240" w:lineRule="auto"/>
              <w:rPr>
                <w:rFonts w:ascii="Calibri" w:hAnsi="Calibri"/>
                <w:szCs w:val="24"/>
              </w:rPr>
            </w:pPr>
            <w:r w:rsidRPr="00682229">
              <w:rPr>
                <w:rFonts w:ascii="Calibri" w:hAnsi="Calibri"/>
                <w:color w:val="000000"/>
                <w:szCs w:val="24"/>
              </w:rPr>
              <w:t>Other Children known to Lancashire CSC</w:t>
            </w:r>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384A14A" w14:textId="77777777" w:rsidR="00326EB5" w:rsidRPr="00682229" w:rsidRDefault="00326EB5" w:rsidP="00326EB5">
            <w:pPr>
              <w:spacing w:after="0" w:line="240" w:lineRule="auto"/>
              <w:jc w:val="center"/>
              <w:rPr>
                <w:rFonts w:ascii="Calibri" w:hAnsi="Calibri"/>
                <w:szCs w:val="24"/>
              </w:rPr>
            </w:pPr>
            <w:r w:rsidRPr="00682229">
              <w:rPr>
                <w:rFonts w:ascii="Calibri" w:hAnsi="Calibri"/>
                <w:szCs w:val="24"/>
              </w:rPr>
              <w:t>408</w:t>
            </w:r>
          </w:p>
        </w:tc>
        <w:tc>
          <w:tcPr>
            <w:tcW w:w="1425" w:type="dxa"/>
            <w:tcBorders>
              <w:top w:val="nil"/>
              <w:left w:val="nil"/>
              <w:bottom w:val="single" w:sz="8" w:space="0" w:color="auto"/>
              <w:right w:val="single" w:sz="8" w:space="0" w:color="auto"/>
            </w:tcBorders>
            <w:vAlign w:val="center"/>
          </w:tcPr>
          <w:p w14:paraId="022C5E97" w14:textId="3F93DA07" w:rsidR="00326EB5" w:rsidRPr="00682229" w:rsidRDefault="00326EB5" w:rsidP="00326EB5">
            <w:pPr>
              <w:spacing w:after="0" w:line="240" w:lineRule="auto"/>
              <w:jc w:val="center"/>
              <w:rPr>
                <w:rFonts w:ascii="Calibri" w:hAnsi="Calibri"/>
                <w:szCs w:val="24"/>
              </w:rPr>
            </w:pPr>
            <w:r w:rsidRPr="00682229">
              <w:rPr>
                <w:rFonts w:ascii="Calibri" w:hAnsi="Calibri"/>
                <w:szCs w:val="24"/>
              </w:rPr>
              <w:t>764</w:t>
            </w:r>
          </w:p>
        </w:tc>
      </w:tr>
      <w:tr w:rsidR="00326EB5" w:rsidRPr="00682229" w14:paraId="236827AC" w14:textId="77777777" w:rsidTr="00326EB5">
        <w:trPr>
          <w:trHeight w:val="340"/>
          <w:jc w:val="center"/>
        </w:trPr>
        <w:tc>
          <w:tcPr>
            <w:tcW w:w="4225" w:type="dxa"/>
            <w:tcBorders>
              <w:top w:val="nil"/>
              <w:left w:val="single" w:sz="8" w:space="0" w:color="auto"/>
              <w:bottom w:val="double" w:sz="4" w:space="0" w:color="auto"/>
              <w:right w:val="single" w:sz="8" w:space="0" w:color="auto"/>
            </w:tcBorders>
            <w:noWrap/>
            <w:tcMar>
              <w:top w:w="0" w:type="dxa"/>
              <w:left w:w="108" w:type="dxa"/>
              <w:bottom w:w="0" w:type="dxa"/>
              <w:right w:w="108" w:type="dxa"/>
            </w:tcMar>
            <w:vAlign w:val="center"/>
          </w:tcPr>
          <w:p w14:paraId="7AE7D97D" w14:textId="77777777" w:rsidR="00326EB5" w:rsidRPr="00682229" w:rsidRDefault="00326EB5" w:rsidP="00326EB5">
            <w:pPr>
              <w:spacing w:after="0" w:line="240" w:lineRule="auto"/>
              <w:rPr>
                <w:rFonts w:ascii="Calibri" w:hAnsi="Calibri"/>
                <w:szCs w:val="24"/>
              </w:rPr>
            </w:pPr>
            <w:r w:rsidRPr="00682229">
              <w:rPr>
                <w:rFonts w:ascii="Calibri" w:hAnsi="Calibri"/>
                <w:color w:val="000000"/>
                <w:szCs w:val="24"/>
              </w:rPr>
              <w:t>Other Children Missing</w:t>
            </w:r>
          </w:p>
        </w:tc>
        <w:tc>
          <w:tcPr>
            <w:tcW w:w="1424" w:type="dxa"/>
            <w:tcBorders>
              <w:top w:val="nil"/>
              <w:left w:val="nil"/>
              <w:bottom w:val="double" w:sz="4" w:space="0" w:color="auto"/>
              <w:right w:val="single" w:sz="8" w:space="0" w:color="auto"/>
            </w:tcBorders>
            <w:noWrap/>
            <w:tcMar>
              <w:top w:w="0" w:type="dxa"/>
              <w:left w:w="108" w:type="dxa"/>
              <w:bottom w:w="0" w:type="dxa"/>
              <w:right w:w="108" w:type="dxa"/>
            </w:tcMar>
            <w:vAlign w:val="center"/>
          </w:tcPr>
          <w:p w14:paraId="2B8F969C" w14:textId="77777777" w:rsidR="00326EB5" w:rsidRPr="00682229" w:rsidRDefault="00326EB5" w:rsidP="00326EB5">
            <w:pPr>
              <w:spacing w:after="0" w:line="240" w:lineRule="auto"/>
              <w:jc w:val="center"/>
              <w:rPr>
                <w:rFonts w:ascii="Calibri" w:hAnsi="Calibri"/>
                <w:szCs w:val="24"/>
              </w:rPr>
            </w:pPr>
            <w:r w:rsidRPr="00682229">
              <w:rPr>
                <w:rFonts w:ascii="Calibri" w:hAnsi="Calibri"/>
                <w:szCs w:val="24"/>
              </w:rPr>
              <w:t>1338</w:t>
            </w:r>
          </w:p>
        </w:tc>
        <w:tc>
          <w:tcPr>
            <w:tcW w:w="1425" w:type="dxa"/>
            <w:tcBorders>
              <w:top w:val="nil"/>
              <w:left w:val="nil"/>
              <w:bottom w:val="double" w:sz="4" w:space="0" w:color="auto"/>
              <w:right w:val="single" w:sz="8" w:space="0" w:color="auto"/>
            </w:tcBorders>
            <w:vAlign w:val="center"/>
          </w:tcPr>
          <w:p w14:paraId="3E919E70" w14:textId="35B67768" w:rsidR="00326EB5" w:rsidRPr="00682229" w:rsidRDefault="00326EB5" w:rsidP="00326EB5">
            <w:pPr>
              <w:spacing w:after="0" w:line="240" w:lineRule="auto"/>
              <w:jc w:val="center"/>
              <w:rPr>
                <w:rFonts w:ascii="Calibri" w:hAnsi="Calibri"/>
                <w:szCs w:val="24"/>
              </w:rPr>
            </w:pPr>
            <w:r w:rsidRPr="00682229">
              <w:rPr>
                <w:rFonts w:ascii="Calibri" w:hAnsi="Calibri"/>
                <w:szCs w:val="24"/>
              </w:rPr>
              <w:t>742</w:t>
            </w:r>
          </w:p>
        </w:tc>
      </w:tr>
      <w:tr w:rsidR="00326EB5" w:rsidRPr="00682229" w14:paraId="6991B972" w14:textId="77777777" w:rsidTr="00326EB5">
        <w:trPr>
          <w:trHeight w:val="340"/>
          <w:jc w:val="center"/>
        </w:trPr>
        <w:tc>
          <w:tcPr>
            <w:tcW w:w="4225" w:type="dxa"/>
            <w:tcBorders>
              <w:top w:val="double" w:sz="4" w:space="0" w:color="auto"/>
              <w:left w:val="single" w:sz="8" w:space="0" w:color="auto"/>
              <w:bottom w:val="double" w:sz="4" w:space="0" w:color="auto"/>
              <w:right w:val="single" w:sz="8" w:space="0" w:color="auto"/>
            </w:tcBorders>
            <w:noWrap/>
            <w:tcMar>
              <w:top w:w="0" w:type="dxa"/>
              <w:left w:w="108" w:type="dxa"/>
              <w:bottom w:w="0" w:type="dxa"/>
              <w:right w:w="108" w:type="dxa"/>
            </w:tcMar>
            <w:vAlign w:val="center"/>
          </w:tcPr>
          <w:p w14:paraId="6DC6C21B" w14:textId="77777777" w:rsidR="00326EB5" w:rsidRPr="00682229" w:rsidRDefault="00326EB5" w:rsidP="00326EB5">
            <w:pPr>
              <w:spacing w:after="0" w:line="240" w:lineRule="auto"/>
              <w:rPr>
                <w:rFonts w:ascii="Calibri" w:hAnsi="Calibri"/>
                <w:b/>
                <w:color w:val="000000"/>
                <w:szCs w:val="24"/>
              </w:rPr>
            </w:pPr>
            <w:r w:rsidRPr="00682229">
              <w:rPr>
                <w:rFonts w:ascii="Calibri" w:hAnsi="Calibri"/>
                <w:b/>
                <w:color w:val="000000"/>
                <w:szCs w:val="24"/>
              </w:rPr>
              <w:t xml:space="preserve">Children Missing with </w:t>
            </w:r>
            <w:smartTag w:uri="urn:schemas-microsoft-com:office:smarttags" w:element="place">
              <w:r w:rsidRPr="00682229">
                <w:rPr>
                  <w:rFonts w:ascii="Calibri" w:hAnsi="Calibri"/>
                  <w:b/>
                  <w:color w:val="000000"/>
                  <w:szCs w:val="24"/>
                </w:rPr>
                <w:t>Lancashire</w:t>
              </w:r>
            </w:smartTag>
            <w:r w:rsidRPr="00682229">
              <w:rPr>
                <w:rFonts w:ascii="Calibri" w:hAnsi="Calibri"/>
                <w:b/>
                <w:color w:val="000000"/>
                <w:szCs w:val="24"/>
              </w:rPr>
              <w:t xml:space="preserve"> boundaries</w:t>
            </w:r>
          </w:p>
        </w:tc>
        <w:tc>
          <w:tcPr>
            <w:tcW w:w="1424" w:type="dxa"/>
            <w:tcBorders>
              <w:top w:val="double" w:sz="4" w:space="0" w:color="auto"/>
              <w:left w:val="nil"/>
              <w:bottom w:val="double" w:sz="4" w:space="0" w:color="auto"/>
              <w:right w:val="single" w:sz="8" w:space="0" w:color="auto"/>
            </w:tcBorders>
            <w:noWrap/>
            <w:tcMar>
              <w:top w:w="0" w:type="dxa"/>
              <w:left w:w="108" w:type="dxa"/>
              <w:bottom w:w="0" w:type="dxa"/>
              <w:right w:w="108" w:type="dxa"/>
            </w:tcMar>
            <w:vAlign w:val="center"/>
          </w:tcPr>
          <w:p w14:paraId="7D1170BA" w14:textId="77777777" w:rsidR="00326EB5" w:rsidRPr="00682229" w:rsidRDefault="00326EB5" w:rsidP="00326EB5">
            <w:pPr>
              <w:spacing w:after="0" w:line="240" w:lineRule="auto"/>
              <w:jc w:val="center"/>
              <w:rPr>
                <w:rFonts w:ascii="Calibri" w:hAnsi="Calibri"/>
                <w:b/>
                <w:color w:val="000000"/>
                <w:szCs w:val="24"/>
              </w:rPr>
            </w:pPr>
            <w:r w:rsidRPr="00682229">
              <w:rPr>
                <w:rFonts w:ascii="Calibri" w:hAnsi="Calibri"/>
                <w:b/>
                <w:color w:val="000000"/>
                <w:szCs w:val="24"/>
              </w:rPr>
              <w:t>2456</w:t>
            </w:r>
          </w:p>
        </w:tc>
        <w:tc>
          <w:tcPr>
            <w:tcW w:w="1425" w:type="dxa"/>
            <w:tcBorders>
              <w:top w:val="double" w:sz="4" w:space="0" w:color="auto"/>
              <w:left w:val="nil"/>
              <w:bottom w:val="double" w:sz="4" w:space="0" w:color="auto"/>
              <w:right w:val="single" w:sz="8" w:space="0" w:color="auto"/>
            </w:tcBorders>
            <w:vAlign w:val="center"/>
          </w:tcPr>
          <w:p w14:paraId="211E9791" w14:textId="582B4645" w:rsidR="00326EB5" w:rsidRPr="00682229" w:rsidRDefault="00326EB5" w:rsidP="00326EB5">
            <w:pPr>
              <w:spacing w:after="0" w:line="240" w:lineRule="auto"/>
              <w:jc w:val="center"/>
              <w:rPr>
                <w:rFonts w:ascii="Calibri" w:hAnsi="Calibri"/>
                <w:b/>
                <w:szCs w:val="24"/>
              </w:rPr>
            </w:pPr>
            <w:r w:rsidRPr="00682229">
              <w:rPr>
                <w:rFonts w:ascii="Calibri" w:hAnsi="Calibri"/>
                <w:b/>
                <w:szCs w:val="24"/>
              </w:rPr>
              <w:t>2222</w:t>
            </w:r>
          </w:p>
        </w:tc>
      </w:tr>
    </w:tbl>
    <w:p w14:paraId="168427ED" w14:textId="77777777" w:rsidR="00FB4407" w:rsidRPr="00682229" w:rsidRDefault="00FB4407" w:rsidP="001F4A6D">
      <w:pPr>
        <w:spacing w:before="120" w:after="120" w:line="288" w:lineRule="auto"/>
        <w:rPr>
          <w:rStyle w:val="SubtleReference"/>
        </w:rPr>
      </w:pPr>
      <w:r w:rsidRPr="00682229">
        <w:rPr>
          <w:rStyle w:val="SubtleReference"/>
        </w:rPr>
        <w:t>Comment:</w:t>
      </w:r>
    </w:p>
    <w:p w14:paraId="7F52458C" w14:textId="6B7670FB" w:rsidR="00FB4407" w:rsidRPr="00682229" w:rsidRDefault="00B01CE6" w:rsidP="005511C1">
      <w:pPr>
        <w:pStyle w:val="ListParagraph"/>
        <w:numPr>
          <w:ilvl w:val="0"/>
          <w:numId w:val="21"/>
        </w:numPr>
        <w:spacing w:before="120" w:after="120" w:line="288" w:lineRule="auto"/>
        <w:jc w:val="both"/>
        <w:rPr>
          <w:sz w:val="22"/>
        </w:rPr>
      </w:pPr>
      <w:r w:rsidRPr="00682229">
        <w:rPr>
          <w:sz w:val="22"/>
        </w:rPr>
        <w:t xml:space="preserve">Over the whole year, </w:t>
      </w:r>
      <w:r w:rsidR="00FB4407" w:rsidRPr="00682229">
        <w:rPr>
          <w:b/>
          <w:sz w:val="22"/>
        </w:rPr>
        <w:t>22</w:t>
      </w:r>
      <w:r w:rsidR="00FB4407" w:rsidRPr="00682229">
        <w:rPr>
          <w:sz w:val="22"/>
        </w:rPr>
        <w:t xml:space="preserve"> ou</w:t>
      </w:r>
      <w:r w:rsidRPr="00682229">
        <w:rPr>
          <w:sz w:val="22"/>
        </w:rPr>
        <w:t>t of 100 children looked after we</w:t>
      </w:r>
      <w:r w:rsidR="00FB4407" w:rsidRPr="00682229">
        <w:rPr>
          <w:sz w:val="22"/>
        </w:rPr>
        <w:t>re reported missing</w:t>
      </w:r>
      <w:r w:rsidRPr="00682229">
        <w:rPr>
          <w:sz w:val="22"/>
        </w:rPr>
        <w:t xml:space="preserve"> in 2014/15, the same figure as the previous year.</w:t>
      </w:r>
    </w:p>
    <w:p w14:paraId="124312CF" w14:textId="77777777" w:rsidR="00FB4407" w:rsidRPr="00682229" w:rsidRDefault="00FB4407" w:rsidP="005511C1">
      <w:pPr>
        <w:pStyle w:val="ListParagraph"/>
        <w:numPr>
          <w:ilvl w:val="0"/>
          <w:numId w:val="21"/>
        </w:numPr>
        <w:spacing w:before="120" w:after="120" w:line="288" w:lineRule="auto"/>
        <w:jc w:val="both"/>
        <w:rPr>
          <w:sz w:val="22"/>
        </w:rPr>
      </w:pPr>
      <w:r w:rsidRPr="00682229">
        <w:rPr>
          <w:sz w:val="22"/>
        </w:rPr>
        <w:lastRenderedPageBreak/>
        <w:t>The numbers represent the number of children looked after, and some children have multi</w:t>
      </w:r>
      <w:r w:rsidR="003D08EF" w:rsidRPr="00682229">
        <w:rPr>
          <w:sz w:val="22"/>
        </w:rPr>
        <w:t>ple instances of going missing</w:t>
      </w:r>
    </w:p>
    <w:p w14:paraId="323547EC" w14:textId="77777777" w:rsidR="00FB4407" w:rsidRPr="00682229" w:rsidRDefault="00FB4407" w:rsidP="005511C1">
      <w:pPr>
        <w:pStyle w:val="ListParagraph"/>
        <w:numPr>
          <w:ilvl w:val="0"/>
          <w:numId w:val="21"/>
        </w:numPr>
        <w:spacing w:before="120" w:after="120" w:line="288" w:lineRule="auto"/>
        <w:jc w:val="both"/>
        <w:rPr>
          <w:sz w:val="22"/>
        </w:rPr>
      </w:pPr>
      <w:r w:rsidRPr="00682229">
        <w:rPr>
          <w:sz w:val="22"/>
        </w:rPr>
        <w:t>LINX have welcomed the changing</w:t>
      </w:r>
      <w:r w:rsidR="00223F27" w:rsidRPr="00682229">
        <w:rPr>
          <w:sz w:val="22"/>
        </w:rPr>
        <w:t xml:space="preserve"> protocols for children missing</w:t>
      </w:r>
      <w:r w:rsidRPr="00682229">
        <w:rPr>
          <w:sz w:val="22"/>
        </w:rPr>
        <w:t xml:space="preserve"> and feel this is good</w:t>
      </w:r>
      <w:r w:rsidR="002167B2" w:rsidRPr="00682229">
        <w:rPr>
          <w:sz w:val="22"/>
        </w:rPr>
        <w:t xml:space="preserve"> and that they are listened to</w:t>
      </w:r>
      <w:r w:rsidR="00223F27" w:rsidRPr="00682229">
        <w:rPr>
          <w:sz w:val="22"/>
        </w:rPr>
        <w:t>, however are worried about those individuals that do actually go missing.</w:t>
      </w:r>
    </w:p>
    <w:p w14:paraId="5B33940D" w14:textId="77777777" w:rsidR="00FB4407" w:rsidRPr="00682229" w:rsidRDefault="0011131C" w:rsidP="001F4A6D">
      <w:pPr>
        <w:spacing w:before="240" w:after="120" w:line="288" w:lineRule="auto"/>
        <w:rPr>
          <w:rStyle w:val="IntenseReference"/>
        </w:rPr>
      </w:pPr>
      <w:r w:rsidRPr="00682229">
        <w:rPr>
          <w:noProof/>
          <w:lang w:eastAsia="en-GB"/>
        </w:rPr>
        <w:drawing>
          <wp:anchor distT="0" distB="0" distL="114300" distR="114300" simplePos="0" relativeHeight="251664384" behindDoc="1" locked="0" layoutInCell="1" allowOverlap="1" wp14:anchorId="318647C0" wp14:editId="077B5B4F">
            <wp:simplePos x="0" y="0"/>
            <wp:positionH relativeFrom="column">
              <wp:posOffset>4468495</wp:posOffset>
            </wp:positionH>
            <wp:positionV relativeFrom="paragraph">
              <wp:posOffset>71120</wp:posOffset>
            </wp:positionV>
            <wp:extent cx="1469390" cy="882015"/>
            <wp:effectExtent l="0" t="0" r="0" b="0"/>
            <wp:wrapTight wrapText="bothSides">
              <wp:wrapPolygon edited="0">
                <wp:start x="0" y="0"/>
                <wp:lineTo x="0" y="20994"/>
                <wp:lineTo x="21283" y="20994"/>
                <wp:lineTo x="21283" y="0"/>
                <wp:lineTo x="0" y="0"/>
              </wp:wrapPolygon>
            </wp:wrapTight>
            <wp:docPr id="11" name="Picture 13" descr="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s.jpg"/>
                    <pic:cNvPicPr>
                      <a:picLocks noChangeAspect="1" noChangeArrowheads="1"/>
                    </pic:cNvPicPr>
                  </pic:nvPicPr>
                  <pic:blipFill>
                    <a:blip r:embed="rId13">
                      <a:lum bright="30000" contrast="-16000"/>
                      <a:extLst>
                        <a:ext uri="{28A0092B-C50C-407E-A947-70E740481C1C}">
                          <a14:useLocalDpi xmlns:a14="http://schemas.microsoft.com/office/drawing/2010/main" val="0"/>
                        </a:ext>
                      </a:extLst>
                    </a:blip>
                    <a:srcRect/>
                    <a:stretch>
                      <a:fillRect/>
                    </a:stretch>
                  </pic:blipFill>
                  <pic:spPr bwMode="auto">
                    <a:xfrm>
                      <a:off x="0" y="0"/>
                      <a:ext cx="1469390" cy="882015"/>
                    </a:xfrm>
                    <a:prstGeom prst="rect">
                      <a:avLst/>
                    </a:prstGeom>
                    <a:noFill/>
                  </pic:spPr>
                </pic:pic>
              </a:graphicData>
            </a:graphic>
            <wp14:sizeRelH relativeFrom="page">
              <wp14:pctWidth>0</wp14:pctWidth>
            </wp14:sizeRelH>
            <wp14:sizeRelV relativeFrom="page">
              <wp14:pctHeight>0</wp14:pctHeight>
            </wp14:sizeRelV>
          </wp:anchor>
        </w:drawing>
      </w:r>
      <w:r w:rsidR="00FB4407" w:rsidRPr="00682229">
        <w:rPr>
          <w:rStyle w:val="IntenseReference"/>
        </w:rPr>
        <w:t>Outcomes for Children Looked After</w:t>
      </w:r>
    </w:p>
    <w:p w14:paraId="64C39F2C" w14:textId="77777777" w:rsidR="00FB4407" w:rsidRPr="00682229" w:rsidRDefault="00FB4407" w:rsidP="00177514">
      <w:pPr>
        <w:spacing w:after="120" w:line="288" w:lineRule="auto"/>
        <w:jc w:val="both"/>
        <w:rPr>
          <w:sz w:val="22"/>
        </w:rPr>
      </w:pPr>
      <w:r w:rsidRPr="00682229">
        <w:rPr>
          <w:sz w:val="22"/>
        </w:rPr>
        <w:t>Outcomes data from education is displayed by academic year rather than financial year.</w:t>
      </w:r>
    </w:p>
    <w:p w14:paraId="3FBE3CC4" w14:textId="77777777" w:rsidR="00FB4407" w:rsidRPr="00682229" w:rsidRDefault="00FB4407" w:rsidP="006C30AB">
      <w:pPr>
        <w:spacing w:after="120" w:line="288" w:lineRule="auto"/>
        <w:rPr>
          <w:b/>
          <w:sz w:val="22"/>
        </w:rPr>
      </w:pPr>
      <w:r w:rsidRPr="00682229">
        <w:rPr>
          <w:b/>
          <w:sz w:val="22"/>
        </w:rPr>
        <w:t>Educational Attainment of Children Looked After</w:t>
      </w:r>
    </w:p>
    <w:p w14:paraId="002E069F" w14:textId="77777777" w:rsidR="00FB4407" w:rsidRPr="00682229" w:rsidRDefault="00FB4407" w:rsidP="00177514">
      <w:pPr>
        <w:spacing w:after="120" w:line="288" w:lineRule="auto"/>
        <w:jc w:val="both"/>
        <w:rPr>
          <w:sz w:val="22"/>
        </w:rPr>
      </w:pPr>
      <w:r w:rsidRPr="00682229">
        <w:rPr>
          <w:sz w:val="22"/>
        </w:rPr>
        <w:t>The key indicator used to measure attainment is the number of children and young people who get 5 GCSEs at grades A* to C including English and Maths:</w:t>
      </w:r>
    </w:p>
    <w:p w14:paraId="00C0A5F5" w14:textId="77777777" w:rsidR="00FB4407" w:rsidRPr="00682229" w:rsidRDefault="00FB4407" w:rsidP="004275EB">
      <w:pPr>
        <w:pStyle w:val="ListParagraph"/>
        <w:numPr>
          <w:ilvl w:val="0"/>
          <w:numId w:val="7"/>
        </w:numPr>
        <w:spacing w:after="120" w:line="288" w:lineRule="auto"/>
        <w:jc w:val="both"/>
        <w:rPr>
          <w:sz w:val="22"/>
        </w:rPr>
      </w:pPr>
      <w:r w:rsidRPr="00682229">
        <w:rPr>
          <w:sz w:val="22"/>
        </w:rPr>
        <w:t>Performance for 2012/13 has been published and performance remains at 12.9% as it was in 2011/12 which was higher than the previous year.</w:t>
      </w:r>
    </w:p>
    <w:p w14:paraId="79AB5136" w14:textId="77777777" w:rsidR="00FB4407" w:rsidRPr="00682229" w:rsidRDefault="00FB4407" w:rsidP="004275EB">
      <w:pPr>
        <w:pStyle w:val="ListParagraph"/>
        <w:numPr>
          <w:ilvl w:val="0"/>
          <w:numId w:val="7"/>
        </w:numPr>
        <w:spacing w:after="120" w:line="288" w:lineRule="auto"/>
        <w:jc w:val="both"/>
        <w:rPr>
          <w:sz w:val="22"/>
        </w:rPr>
      </w:pPr>
      <w:r w:rsidRPr="00682229">
        <w:rPr>
          <w:sz w:val="22"/>
        </w:rPr>
        <w:t xml:space="preserve">CLA attainment remains significantly lower than attainment for all children and young people of whom </w:t>
      </w:r>
      <w:r w:rsidRPr="00682229">
        <w:rPr>
          <w:b/>
          <w:sz w:val="22"/>
        </w:rPr>
        <w:t>6</w:t>
      </w:r>
      <w:r w:rsidRPr="00682229">
        <w:rPr>
          <w:sz w:val="22"/>
        </w:rPr>
        <w:t xml:space="preserve"> out 10 achieve 5 GCSEs at A*-C</w:t>
      </w:r>
    </w:p>
    <w:tbl>
      <w:tblPr>
        <w:tblW w:w="9520" w:type="dxa"/>
        <w:tblInd w:w="108" w:type="dxa"/>
        <w:tblLook w:val="00A0" w:firstRow="1" w:lastRow="0" w:firstColumn="1" w:lastColumn="0" w:noHBand="0" w:noVBand="0"/>
      </w:tblPr>
      <w:tblGrid>
        <w:gridCol w:w="1166"/>
        <w:gridCol w:w="961"/>
        <w:gridCol w:w="850"/>
        <w:gridCol w:w="851"/>
        <w:gridCol w:w="2126"/>
        <w:gridCol w:w="1843"/>
        <w:gridCol w:w="1723"/>
      </w:tblGrid>
      <w:tr w:rsidR="00D62D8F" w:rsidRPr="00682229" w14:paraId="137600A4" w14:textId="77777777" w:rsidTr="007771B6">
        <w:trPr>
          <w:trHeight w:val="315"/>
        </w:trPr>
        <w:tc>
          <w:tcPr>
            <w:tcW w:w="1166" w:type="dxa"/>
            <w:tcBorders>
              <w:top w:val="nil"/>
              <w:left w:val="nil"/>
              <w:bottom w:val="nil"/>
              <w:right w:val="nil"/>
            </w:tcBorders>
            <w:noWrap/>
            <w:vAlign w:val="bottom"/>
          </w:tcPr>
          <w:p w14:paraId="3C578F72" w14:textId="77777777" w:rsidR="00D62D8F" w:rsidRPr="00682229" w:rsidRDefault="00D62D8F" w:rsidP="00FF53A9">
            <w:pPr>
              <w:spacing w:after="0" w:line="240" w:lineRule="auto"/>
              <w:rPr>
                <w:rFonts w:cs="Arial"/>
                <w:color w:val="000000"/>
                <w:szCs w:val="24"/>
                <w:lang w:eastAsia="en-GB"/>
              </w:rPr>
            </w:pPr>
          </w:p>
        </w:tc>
        <w:tc>
          <w:tcPr>
            <w:tcW w:w="2662" w:type="dxa"/>
            <w:gridSpan w:val="3"/>
            <w:tcBorders>
              <w:top w:val="single" w:sz="4" w:space="0" w:color="auto"/>
              <w:left w:val="single" w:sz="4" w:space="0" w:color="auto"/>
              <w:bottom w:val="single" w:sz="4" w:space="0" w:color="auto"/>
              <w:right w:val="single" w:sz="4" w:space="0" w:color="auto"/>
            </w:tcBorders>
            <w:shd w:val="clear" w:color="000000" w:fill="EAF1DD"/>
            <w:noWrap/>
            <w:vAlign w:val="center"/>
          </w:tcPr>
          <w:p w14:paraId="0626ED32" w14:textId="77777777" w:rsidR="00D62D8F" w:rsidRPr="00682229" w:rsidRDefault="00D62D8F" w:rsidP="00FF53A9">
            <w:pPr>
              <w:spacing w:after="0" w:line="240" w:lineRule="auto"/>
              <w:jc w:val="center"/>
              <w:rPr>
                <w:rFonts w:ascii="Calibri" w:hAnsi="Calibri"/>
                <w:color w:val="000000"/>
                <w:szCs w:val="24"/>
                <w:lang w:eastAsia="en-GB"/>
              </w:rPr>
            </w:pPr>
            <w:r w:rsidRPr="00682229">
              <w:rPr>
                <w:rFonts w:ascii="Calibri" w:hAnsi="Calibri"/>
                <w:color w:val="000000"/>
                <w:szCs w:val="24"/>
                <w:lang w:eastAsia="en-GB"/>
              </w:rPr>
              <w:t>Previous Performance</w:t>
            </w:r>
          </w:p>
        </w:tc>
        <w:tc>
          <w:tcPr>
            <w:tcW w:w="2126" w:type="dxa"/>
            <w:tcBorders>
              <w:top w:val="single" w:sz="4" w:space="0" w:color="auto"/>
              <w:left w:val="nil"/>
              <w:bottom w:val="single" w:sz="4" w:space="0" w:color="auto"/>
              <w:right w:val="single" w:sz="4" w:space="0" w:color="auto"/>
            </w:tcBorders>
            <w:shd w:val="clear" w:color="000000" w:fill="EAF1DD"/>
            <w:noWrap/>
            <w:vAlign w:val="center"/>
          </w:tcPr>
          <w:p w14:paraId="1E665668" w14:textId="77777777" w:rsidR="00D62D8F" w:rsidRPr="00682229" w:rsidRDefault="00D62D8F" w:rsidP="00FF53A9">
            <w:pPr>
              <w:spacing w:after="0" w:line="240" w:lineRule="auto"/>
              <w:jc w:val="center"/>
              <w:rPr>
                <w:rFonts w:ascii="Calibri" w:hAnsi="Calibri"/>
                <w:color w:val="000000"/>
                <w:szCs w:val="24"/>
                <w:lang w:eastAsia="en-GB"/>
              </w:rPr>
            </w:pPr>
            <w:r w:rsidRPr="00682229">
              <w:rPr>
                <w:rFonts w:ascii="Calibri" w:hAnsi="Calibri"/>
                <w:color w:val="000000"/>
                <w:szCs w:val="24"/>
                <w:lang w:eastAsia="en-GB"/>
              </w:rPr>
              <w:t>Current Performance</w:t>
            </w:r>
          </w:p>
        </w:tc>
        <w:tc>
          <w:tcPr>
            <w:tcW w:w="1843" w:type="dxa"/>
            <w:tcBorders>
              <w:top w:val="single" w:sz="4" w:space="0" w:color="auto"/>
              <w:left w:val="nil"/>
              <w:bottom w:val="single" w:sz="4" w:space="0" w:color="auto"/>
              <w:right w:val="single" w:sz="4" w:space="0" w:color="auto"/>
            </w:tcBorders>
            <w:shd w:val="clear" w:color="000000" w:fill="EAF1DD"/>
            <w:noWrap/>
            <w:vAlign w:val="center"/>
          </w:tcPr>
          <w:p w14:paraId="570D92F2" w14:textId="77777777" w:rsidR="00D62D8F" w:rsidRPr="00682229" w:rsidRDefault="00D62D8F" w:rsidP="00FF53A9">
            <w:pPr>
              <w:spacing w:after="0" w:line="240" w:lineRule="auto"/>
              <w:jc w:val="center"/>
              <w:rPr>
                <w:rFonts w:ascii="Calibri" w:hAnsi="Calibri"/>
                <w:color w:val="000000"/>
                <w:szCs w:val="24"/>
                <w:lang w:eastAsia="en-GB"/>
              </w:rPr>
            </w:pPr>
            <w:r w:rsidRPr="00682229">
              <w:rPr>
                <w:rFonts w:ascii="Calibri" w:hAnsi="Calibri"/>
                <w:color w:val="000000"/>
                <w:szCs w:val="24"/>
                <w:lang w:eastAsia="en-GB"/>
              </w:rPr>
              <w:t>Target</w:t>
            </w:r>
          </w:p>
        </w:tc>
        <w:tc>
          <w:tcPr>
            <w:tcW w:w="1723" w:type="dxa"/>
            <w:vMerge w:val="restart"/>
            <w:tcBorders>
              <w:top w:val="single" w:sz="4" w:space="0" w:color="auto"/>
              <w:left w:val="single" w:sz="4" w:space="0" w:color="auto"/>
              <w:bottom w:val="single" w:sz="4" w:space="0" w:color="auto"/>
              <w:right w:val="single" w:sz="4" w:space="0" w:color="auto"/>
            </w:tcBorders>
            <w:shd w:val="clear" w:color="000000" w:fill="EAF1DD"/>
            <w:vAlign w:val="center"/>
          </w:tcPr>
          <w:p w14:paraId="3ECB2C79" w14:textId="77777777" w:rsidR="00D62D8F" w:rsidRPr="00682229" w:rsidRDefault="00D62D8F" w:rsidP="00FF53A9">
            <w:pPr>
              <w:spacing w:after="0" w:line="240" w:lineRule="auto"/>
              <w:jc w:val="center"/>
              <w:rPr>
                <w:rFonts w:ascii="Calibri" w:hAnsi="Calibri"/>
                <w:color w:val="000000"/>
                <w:szCs w:val="24"/>
                <w:lang w:eastAsia="en-GB"/>
              </w:rPr>
            </w:pPr>
            <w:r w:rsidRPr="00682229">
              <w:rPr>
                <w:rFonts w:ascii="Calibri" w:hAnsi="Calibri"/>
                <w:color w:val="000000"/>
                <w:szCs w:val="24"/>
                <w:lang w:eastAsia="en-GB"/>
              </w:rPr>
              <w:t>Performance Direction?</w:t>
            </w:r>
          </w:p>
        </w:tc>
      </w:tr>
      <w:tr w:rsidR="00D62D8F" w:rsidRPr="00682229" w14:paraId="490DA804" w14:textId="77777777" w:rsidTr="007771B6">
        <w:trPr>
          <w:trHeight w:val="315"/>
        </w:trPr>
        <w:tc>
          <w:tcPr>
            <w:tcW w:w="1166" w:type="dxa"/>
            <w:tcBorders>
              <w:top w:val="nil"/>
              <w:left w:val="nil"/>
              <w:bottom w:val="nil"/>
              <w:right w:val="nil"/>
            </w:tcBorders>
            <w:noWrap/>
            <w:vAlign w:val="bottom"/>
          </w:tcPr>
          <w:p w14:paraId="31034F86" w14:textId="77777777" w:rsidR="00D62D8F" w:rsidRPr="00682229" w:rsidRDefault="00D62D8F" w:rsidP="00FF53A9">
            <w:pPr>
              <w:spacing w:after="0" w:line="240" w:lineRule="auto"/>
              <w:rPr>
                <w:rFonts w:cs="Arial"/>
                <w:color w:val="000000"/>
                <w:szCs w:val="24"/>
                <w:lang w:eastAsia="en-GB"/>
              </w:rPr>
            </w:pPr>
          </w:p>
        </w:tc>
        <w:tc>
          <w:tcPr>
            <w:tcW w:w="961" w:type="dxa"/>
            <w:tcBorders>
              <w:top w:val="nil"/>
              <w:left w:val="single" w:sz="4" w:space="0" w:color="auto"/>
              <w:bottom w:val="nil"/>
              <w:right w:val="single" w:sz="4" w:space="0" w:color="auto"/>
            </w:tcBorders>
            <w:shd w:val="clear" w:color="000000" w:fill="EAF1DD"/>
            <w:noWrap/>
            <w:vAlign w:val="center"/>
          </w:tcPr>
          <w:p w14:paraId="670E8724" w14:textId="77777777" w:rsidR="00D62D8F" w:rsidRPr="00682229" w:rsidRDefault="00D62D8F" w:rsidP="00D62D8F">
            <w:pPr>
              <w:spacing w:after="0" w:line="240" w:lineRule="auto"/>
              <w:jc w:val="center"/>
              <w:rPr>
                <w:rFonts w:ascii="Calibri" w:hAnsi="Calibri"/>
                <w:color w:val="000000"/>
                <w:szCs w:val="24"/>
                <w:lang w:eastAsia="en-GB"/>
              </w:rPr>
            </w:pPr>
            <w:r w:rsidRPr="00682229">
              <w:rPr>
                <w:rFonts w:ascii="Calibri" w:hAnsi="Calibri"/>
                <w:color w:val="000000"/>
                <w:szCs w:val="24"/>
                <w:lang w:eastAsia="en-GB"/>
              </w:rPr>
              <w:t>10/11</w:t>
            </w:r>
          </w:p>
        </w:tc>
        <w:tc>
          <w:tcPr>
            <w:tcW w:w="850" w:type="dxa"/>
            <w:tcBorders>
              <w:top w:val="nil"/>
              <w:left w:val="nil"/>
              <w:bottom w:val="nil"/>
              <w:right w:val="single" w:sz="4" w:space="0" w:color="auto"/>
            </w:tcBorders>
            <w:shd w:val="clear" w:color="000000" w:fill="EAF1DD"/>
            <w:noWrap/>
            <w:vAlign w:val="center"/>
          </w:tcPr>
          <w:p w14:paraId="33636A83" w14:textId="77777777" w:rsidR="00D62D8F" w:rsidRPr="00682229" w:rsidRDefault="00D62D8F" w:rsidP="00FF53A9">
            <w:pPr>
              <w:spacing w:after="0" w:line="240" w:lineRule="auto"/>
              <w:jc w:val="center"/>
              <w:rPr>
                <w:rFonts w:ascii="Calibri" w:hAnsi="Calibri"/>
                <w:color w:val="000000"/>
                <w:szCs w:val="24"/>
                <w:lang w:eastAsia="en-GB"/>
              </w:rPr>
            </w:pPr>
            <w:r w:rsidRPr="00682229">
              <w:rPr>
                <w:rFonts w:ascii="Calibri" w:hAnsi="Calibri"/>
                <w:color w:val="000000"/>
                <w:szCs w:val="24"/>
                <w:lang w:eastAsia="en-GB"/>
              </w:rPr>
              <w:t>11/12</w:t>
            </w:r>
          </w:p>
        </w:tc>
        <w:tc>
          <w:tcPr>
            <w:tcW w:w="851" w:type="dxa"/>
            <w:tcBorders>
              <w:top w:val="nil"/>
              <w:left w:val="nil"/>
              <w:bottom w:val="single" w:sz="4" w:space="0" w:color="auto"/>
              <w:right w:val="single" w:sz="4" w:space="0" w:color="auto"/>
            </w:tcBorders>
            <w:shd w:val="clear" w:color="000000" w:fill="EAF1DD"/>
          </w:tcPr>
          <w:p w14:paraId="07F9F5CA" w14:textId="77777777" w:rsidR="00D62D8F" w:rsidRPr="00682229" w:rsidRDefault="00D62D8F" w:rsidP="00FF53A9">
            <w:pPr>
              <w:spacing w:after="0" w:line="240" w:lineRule="auto"/>
              <w:jc w:val="center"/>
              <w:rPr>
                <w:rFonts w:ascii="Calibri" w:hAnsi="Calibri"/>
                <w:color w:val="000000"/>
                <w:szCs w:val="24"/>
                <w:lang w:eastAsia="en-GB"/>
              </w:rPr>
            </w:pPr>
            <w:r w:rsidRPr="00682229">
              <w:rPr>
                <w:rFonts w:ascii="Calibri" w:hAnsi="Calibri"/>
                <w:color w:val="000000"/>
                <w:szCs w:val="24"/>
                <w:lang w:eastAsia="en-GB"/>
              </w:rPr>
              <w:t>12/13</w:t>
            </w:r>
          </w:p>
        </w:tc>
        <w:tc>
          <w:tcPr>
            <w:tcW w:w="2126" w:type="dxa"/>
            <w:tcBorders>
              <w:top w:val="nil"/>
              <w:left w:val="single" w:sz="4" w:space="0" w:color="auto"/>
              <w:bottom w:val="nil"/>
              <w:right w:val="single" w:sz="4" w:space="0" w:color="auto"/>
            </w:tcBorders>
            <w:shd w:val="clear" w:color="000000" w:fill="EAF1DD"/>
            <w:noWrap/>
            <w:vAlign w:val="center"/>
          </w:tcPr>
          <w:p w14:paraId="1B5703D4" w14:textId="77777777" w:rsidR="00D62D8F" w:rsidRPr="00682229" w:rsidRDefault="00D62D8F" w:rsidP="00D62D8F">
            <w:pPr>
              <w:spacing w:after="0" w:line="240" w:lineRule="auto"/>
              <w:jc w:val="center"/>
              <w:rPr>
                <w:rFonts w:ascii="Calibri" w:hAnsi="Calibri"/>
                <w:color w:val="000000"/>
                <w:szCs w:val="24"/>
                <w:lang w:eastAsia="en-GB"/>
              </w:rPr>
            </w:pPr>
            <w:r w:rsidRPr="00682229">
              <w:rPr>
                <w:rFonts w:ascii="Calibri" w:hAnsi="Calibri"/>
                <w:color w:val="000000"/>
                <w:szCs w:val="24"/>
                <w:lang w:eastAsia="en-GB"/>
              </w:rPr>
              <w:t>2013/14</w:t>
            </w:r>
          </w:p>
        </w:tc>
        <w:tc>
          <w:tcPr>
            <w:tcW w:w="1843" w:type="dxa"/>
            <w:tcBorders>
              <w:top w:val="nil"/>
              <w:left w:val="nil"/>
              <w:bottom w:val="nil"/>
              <w:right w:val="single" w:sz="4" w:space="0" w:color="auto"/>
            </w:tcBorders>
            <w:shd w:val="clear" w:color="000000" w:fill="EAF1DD"/>
            <w:noWrap/>
            <w:vAlign w:val="center"/>
          </w:tcPr>
          <w:p w14:paraId="743A8D64" w14:textId="77777777" w:rsidR="00D62D8F" w:rsidRPr="00682229" w:rsidRDefault="00D62D8F" w:rsidP="00FF53A9">
            <w:pPr>
              <w:spacing w:after="0" w:line="240" w:lineRule="auto"/>
              <w:jc w:val="center"/>
              <w:rPr>
                <w:rFonts w:ascii="Calibri" w:hAnsi="Calibri"/>
                <w:color w:val="000000"/>
                <w:szCs w:val="24"/>
                <w:lang w:eastAsia="en-GB"/>
              </w:rPr>
            </w:pPr>
            <w:r w:rsidRPr="00682229">
              <w:rPr>
                <w:rFonts w:ascii="Calibri" w:hAnsi="Calibri"/>
                <w:color w:val="000000"/>
                <w:szCs w:val="24"/>
                <w:lang w:eastAsia="en-GB"/>
              </w:rPr>
              <w:t> </w:t>
            </w:r>
          </w:p>
        </w:tc>
        <w:tc>
          <w:tcPr>
            <w:tcW w:w="1723" w:type="dxa"/>
            <w:vMerge/>
            <w:tcBorders>
              <w:top w:val="single" w:sz="4" w:space="0" w:color="auto"/>
              <w:left w:val="single" w:sz="4" w:space="0" w:color="auto"/>
              <w:bottom w:val="single" w:sz="4" w:space="0" w:color="auto"/>
              <w:right w:val="single" w:sz="4" w:space="0" w:color="auto"/>
            </w:tcBorders>
            <w:vAlign w:val="center"/>
          </w:tcPr>
          <w:p w14:paraId="054F2A12" w14:textId="77777777" w:rsidR="00D62D8F" w:rsidRPr="00682229" w:rsidRDefault="00D62D8F" w:rsidP="00FF53A9">
            <w:pPr>
              <w:spacing w:after="0" w:line="240" w:lineRule="auto"/>
              <w:rPr>
                <w:rFonts w:ascii="Calibri" w:hAnsi="Calibri"/>
                <w:color w:val="000000"/>
                <w:szCs w:val="24"/>
                <w:lang w:eastAsia="en-GB"/>
              </w:rPr>
            </w:pPr>
          </w:p>
        </w:tc>
      </w:tr>
      <w:tr w:rsidR="00D62D8F" w:rsidRPr="00682229" w14:paraId="4AC8CEF1" w14:textId="77777777" w:rsidTr="007771B6">
        <w:trPr>
          <w:trHeight w:val="315"/>
        </w:trPr>
        <w:tc>
          <w:tcPr>
            <w:tcW w:w="1166" w:type="dxa"/>
            <w:tcBorders>
              <w:top w:val="single" w:sz="4" w:space="0" w:color="auto"/>
              <w:left w:val="single" w:sz="4" w:space="0" w:color="auto"/>
              <w:bottom w:val="single" w:sz="4" w:space="0" w:color="auto"/>
              <w:right w:val="single" w:sz="4" w:space="0" w:color="auto"/>
            </w:tcBorders>
            <w:noWrap/>
            <w:vAlign w:val="bottom"/>
          </w:tcPr>
          <w:p w14:paraId="2BF37320" w14:textId="77777777" w:rsidR="00D62D8F" w:rsidRPr="00682229" w:rsidRDefault="00D62D8F" w:rsidP="00FF53A9">
            <w:pPr>
              <w:spacing w:after="0" w:line="240" w:lineRule="auto"/>
              <w:rPr>
                <w:rFonts w:ascii="Calibri" w:hAnsi="Calibri" w:cs="Arial"/>
                <w:color w:val="000000"/>
                <w:szCs w:val="24"/>
                <w:lang w:eastAsia="en-GB"/>
              </w:rPr>
            </w:pPr>
            <w:r w:rsidRPr="00682229">
              <w:rPr>
                <w:rFonts w:ascii="Calibri" w:hAnsi="Calibri" w:cs="Arial"/>
                <w:color w:val="000000"/>
                <w:szCs w:val="24"/>
                <w:lang w:eastAsia="en-GB"/>
              </w:rPr>
              <w:t>Lancs</w:t>
            </w:r>
          </w:p>
        </w:tc>
        <w:tc>
          <w:tcPr>
            <w:tcW w:w="961" w:type="dxa"/>
            <w:tcBorders>
              <w:top w:val="single" w:sz="4" w:space="0" w:color="auto"/>
              <w:left w:val="nil"/>
              <w:bottom w:val="single" w:sz="4" w:space="0" w:color="auto"/>
              <w:right w:val="single" w:sz="4" w:space="0" w:color="auto"/>
            </w:tcBorders>
            <w:noWrap/>
            <w:vAlign w:val="center"/>
          </w:tcPr>
          <w:p w14:paraId="35946C04" w14:textId="77777777" w:rsidR="00D62D8F" w:rsidRPr="00682229" w:rsidRDefault="00D62D8F" w:rsidP="00FF53A9">
            <w:pPr>
              <w:spacing w:after="0" w:line="240" w:lineRule="auto"/>
              <w:jc w:val="center"/>
              <w:rPr>
                <w:rFonts w:ascii="Calibri" w:hAnsi="Calibri"/>
                <w:color w:val="000000"/>
                <w:szCs w:val="24"/>
                <w:lang w:eastAsia="en-GB"/>
              </w:rPr>
            </w:pPr>
            <w:r w:rsidRPr="00682229">
              <w:rPr>
                <w:rFonts w:ascii="Calibri" w:hAnsi="Calibri"/>
                <w:color w:val="000000"/>
                <w:szCs w:val="24"/>
                <w:lang w:eastAsia="en-GB"/>
              </w:rPr>
              <w:t>11.9%</w:t>
            </w:r>
          </w:p>
        </w:tc>
        <w:tc>
          <w:tcPr>
            <w:tcW w:w="850" w:type="dxa"/>
            <w:tcBorders>
              <w:top w:val="single" w:sz="4" w:space="0" w:color="auto"/>
              <w:left w:val="nil"/>
              <w:bottom w:val="single" w:sz="4" w:space="0" w:color="auto"/>
              <w:right w:val="single" w:sz="4" w:space="0" w:color="auto"/>
            </w:tcBorders>
            <w:noWrap/>
            <w:vAlign w:val="center"/>
          </w:tcPr>
          <w:p w14:paraId="1A00A3AE" w14:textId="77777777" w:rsidR="00D62D8F" w:rsidRPr="00682229" w:rsidRDefault="00D62D8F" w:rsidP="00FF53A9">
            <w:pPr>
              <w:spacing w:after="0" w:line="240" w:lineRule="auto"/>
              <w:jc w:val="center"/>
              <w:rPr>
                <w:rFonts w:ascii="Calibri" w:hAnsi="Calibri"/>
                <w:color w:val="000000"/>
                <w:szCs w:val="24"/>
                <w:lang w:eastAsia="en-GB"/>
              </w:rPr>
            </w:pPr>
            <w:r w:rsidRPr="00682229">
              <w:rPr>
                <w:rFonts w:ascii="Calibri" w:hAnsi="Calibri"/>
                <w:color w:val="000000"/>
                <w:szCs w:val="24"/>
                <w:lang w:eastAsia="en-GB"/>
              </w:rPr>
              <w:t>12.9%</w:t>
            </w:r>
          </w:p>
        </w:tc>
        <w:tc>
          <w:tcPr>
            <w:tcW w:w="851" w:type="dxa"/>
            <w:tcBorders>
              <w:top w:val="single" w:sz="4" w:space="0" w:color="auto"/>
              <w:left w:val="nil"/>
              <w:bottom w:val="single" w:sz="4" w:space="0" w:color="auto"/>
              <w:right w:val="single" w:sz="4" w:space="0" w:color="auto"/>
            </w:tcBorders>
          </w:tcPr>
          <w:p w14:paraId="259415F7" w14:textId="77777777" w:rsidR="00D62D8F" w:rsidRPr="00682229" w:rsidRDefault="00D62D8F" w:rsidP="00FF53A9">
            <w:pPr>
              <w:spacing w:after="0" w:line="240" w:lineRule="auto"/>
              <w:jc w:val="center"/>
              <w:rPr>
                <w:rFonts w:ascii="Calibri" w:hAnsi="Calibri"/>
                <w:color w:val="000000"/>
                <w:szCs w:val="24"/>
                <w:lang w:eastAsia="en-GB"/>
              </w:rPr>
            </w:pPr>
            <w:r w:rsidRPr="00682229">
              <w:rPr>
                <w:rFonts w:ascii="Calibri" w:hAnsi="Calibri"/>
                <w:color w:val="000000"/>
                <w:szCs w:val="24"/>
                <w:lang w:eastAsia="en-GB"/>
              </w:rPr>
              <w:t>12.9%</w:t>
            </w:r>
          </w:p>
        </w:tc>
        <w:tc>
          <w:tcPr>
            <w:tcW w:w="2126" w:type="dxa"/>
            <w:tcBorders>
              <w:top w:val="single" w:sz="4" w:space="0" w:color="auto"/>
              <w:left w:val="single" w:sz="4" w:space="0" w:color="auto"/>
              <w:bottom w:val="single" w:sz="4" w:space="0" w:color="auto"/>
              <w:right w:val="single" w:sz="4" w:space="0" w:color="auto"/>
            </w:tcBorders>
            <w:noWrap/>
            <w:vAlign w:val="center"/>
          </w:tcPr>
          <w:p w14:paraId="3D1B70B5" w14:textId="77777777" w:rsidR="00D62D8F" w:rsidRPr="00682229" w:rsidRDefault="00D62D8F" w:rsidP="00FF53A9">
            <w:pPr>
              <w:spacing w:after="0" w:line="240" w:lineRule="auto"/>
              <w:jc w:val="center"/>
              <w:rPr>
                <w:rFonts w:ascii="Calibri" w:hAnsi="Calibri"/>
                <w:color w:val="000000"/>
                <w:szCs w:val="24"/>
                <w:lang w:eastAsia="en-GB"/>
              </w:rPr>
            </w:pPr>
            <w:r w:rsidRPr="00682229">
              <w:rPr>
                <w:rFonts w:ascii="Calibri" w:hAnsi="Calibri"/>
                <w:color w:val="000000"/>
                <w:szCs w:val="24"/>
                <w:lang w:eastAsia="en-GB"/>
              </w:rPr>
              <w:t>8%</w:t>
            </w:r>
          </w:p>
        </w:tc>
        <w:tc>
          <w:tcPr>
            <w:tcW w:w="1843" w:type="dxa"/>
            <w:tcBorders>
              <w:top w:val="single" w:sz="4" w:space="0" w:color="auto"/>
              <w:left w:val="nil"/>
              <w:bottom w:val="single" w:sz="4" w:space="0" w:color="auto"/>
              <w:right w:val="single" w:sz="4" w:space="0" w:color="auto"/>
            </w:tcBorders>
            <w:noWrap/>
            <w:vAlign w:val="center"/>
          </w:tcPr>
          <w:p w14:paraId="60BFB0A2" w14:textId="77777777" w:rsidR="00D62D8F" w:rsidRPr="00682229" w:rsidRDefault="00D62D8F" w:rsidP="00FF53A9">
            <w:pPr>
              <w:spacing w:after="0" w:line="240" w:lineRule="auto"/>
              <w:jc w:val="center"/>
              <w:rPr>
                <w:rFonts w:ascii="Calibri" w:hAnsi="Calibri"/>
                <w:color w:val="000000"/>
                <w:szCs w:val="24"/>
                <w:lang w:eastAsia="en-GB"/>
              </w:rPr>
            </w:pPr>
            <w:r w:rsidRPr="00682229">
              <w:rPr>
                <w:rFonts w:ascii="Calibri" w:hAnsi="Calibri"/>
                <w:color w:val="000000"/>
                <w:szCs w:val="24"/>
                <w:lang w:eastAsia="en-GB"/>
              </w:rPr>
              <w:t>18.0%</w:t>
            </w:r>
          </w:p>
        </w:tc>
        <w:tc>
          <w:tcPr>
            <w:tcW w:w="1723" w:type="dxa"/>
            <w:vMerge w:val="restart"/>
            <w:tcBorders>
              <w:top w:val="single" w:sz="4" w:space="0" w:color="auto"/>
              <w:left w:val="single" w:sz="4" w:space="0" w:color="auto"/>
              <w:bottom w:val="single" w:sz="4" w:space="0" w:color="auto"/>
              <w:right w:val="single" w:sz="4" w:space="0" w:color="auto"/>
            </w:tcBorders>
            <w:noWrap/>
            <w:vAlign w:val="center"/>
          </w:tcPr>
          <w:p w14:paraId="34E831BC" w14:textId="77777777" w:rsidR="00D62D8F" w:rsidRPr="00682229" w:rsidRDefault="00D62D8F" w:rsidP="00FF53A9">
            <w:pPr>
              <w:spacing w:after="0" w:line="240" w:lineRule="auto"/>
              <w:jc w:val="center"/>
              <w:rPr>
                <w:rFonts w:ascii="Wingdings" w:hAnsi="Wingdings"/>
                <w:b/>
                <w:bCs/>
                <w:color w:val="00B050"/>
                <w:sz w:val="48"/>
                <w:szCs w:val="48"/>
                <w:lang w:eastAsia="en-GB"/>
              </w:rPr>
            </w:pPr>
            <w:r w:rsidRPr="00682229">
              <w:rPr>
                <w:rFonts w:ascii="Wingdings" w:hAnsi="Wingdings"/>
                <w:b/>
                <w:bCs/>
                <w:color w:val="00B050"/>
                <w:sz w:val="48"/>
                <w:szCs w:val="48"/>
                <w:lang w:eastAsia="en-GB"/>
              </w:rPr>
              <w:t></w:t>
            </w:r>
          </w:p>
        </w:tc>
      </w:tr>
      <w:tr w:rsidR="00D62D8F" w:rsidRPr="00682229" w14:paraId="3855D0C2" w14:textId="77777777" w:rsidTr="007771B6">
        <w:trPr>
          <w:trHeight w:val="375"/>
        </w:trPr>
        <w:tc>
          <w:tcPr>
            <w:tcW w:w="1166" w:type="dxa"/>
            <w:tcBorders>
              <w:top w:val="nil"/>
              <w:left w:val="single" w:sz="4" w:space="0" w:color="auto"/>
              <w:bottom w:val="single" w:sz="4" w:space="0" w:color="auto"/>
              <w:right w:val="single" w:sz="4" w:space="0" w:color="auto"/>
            </w:tcBorders>
            <w:noWrap/>
            <w:vAlign w:val="bottom"/>
          </w:tcPr>
          <w:p w14:paraId="14B7BEA2" w14:textId="77777777" w:rsidR="00D62D8F" w:rsidRPr="00682229" w:rsidRDefault="00D62D8F" w:rsidP="00FF53A9">
            <w:pPr>
              <w:spacing w:after="0" w:line="240" w:lineRule="auto"/>
              <w:rPr>
                <w:rFonts w:cs="Arial"/>
                <w:color w:val="000000"/>
                <w:szCs w:val="24"/>
                <w:lang w:eastAsia="en-GB"/>
              </w:rPr>
            </w:pPr>
            <w:r w:rsidRPr="00682229">
              <w:rPr>
                <w:rFonts w:cs="Arial"/>
                <w:color w:val="000000"/>
                <w:szCs w:val="24"/>
                <w:lang w:eastAsia="en-GB"/>
              </w:rPr>
              <w:t> </w:t>
            </w:r>
          </w:p>
        </w:tc>
        <w:tc>
          <w:tcPr>
            <w:tcW w:w="961" w:type="dxa"/>
            <w:tcBorders>
              <w:top w:val="single" w:sz="4" w:space="0" w:color="auto"/>
              <w:left w:val="single" w:sz="4" w:space="0" w:color="auto"/>
              <w:bottom w:val="single" w:sz="4" w:space="0" w:color="auto"/>
              <w:right w:val="single" w:sz="4" w:space="0" w:color="auto"/>
            </w:tcBorders>
            <w:noWrap/>
            <w:vAlign w:val="center"/>
          </w:tcPr>
          <w:p w14:paraId="6819007A" w14:textId="77777777" w:rsidR="00D62D8F" w:rsidRPr="00682229" w:rsidRDefault="00D62D8F" w:rsidP="00FF53A9">
            <w:pPr>
              <w:spacing w:after="0" w:line="240" w:lineRule="auto"/>
              <w:jc w:val="center"/>
              <w:rPr>
                <w:rFonts w:ascii="Wingdings 3" w:hAnsi="Wingdings 3"/>
                <w:b/>
                <w:bCs/>
                <w:color w:val="FF0000"/>
                <w:sz w:val="28"/>
                <w:szCs w:val="28"/>
                <w:lang w:eastAsia="en-GB"/>
              </w:rPr>
            </w:pPr>
            <w:r w:rsidRPr="00682229">
              <w:rPr>
                <w:rFonts w:ascii="Wingdings 3" w:hAnsi="Wingdings 3"/>
                <w:b/>
                <w:bCs/>
                <w:color w:val="FF0000"/>
                <w:sz w:val="28"/>
                <w:szCs w:val="28"/>
                <w:lang w:eastAsia="en-GB"/>
              </w:rPr>
              <w:t></w:t>
            </w:r>
          </w:p>
        </w:tc>
        <w:tc>
          <w:tcPr>
            <w:tcW w:w="850" w:type="dxa"/>
            <w:tcBorders>
              <w:top w:val="single" w:sz="4" w:space="0" w:color="auto"/>
              <w:left w:val="single" w:sz="4" w:space="0" w:color="auto"/>
              <w:bottom w:val="single" w:sz="4" w:space="0" w:color="auto"/>
              <w:right w:val="single" w:sz="4" w:space="0" w:color="auto"/>
            </w:tcBorders>
            <w:noWrap/>
            <w:vAlign w:val="center"/>
          </w:tcPr>
          <w:p w14:paraId="223427EE" w14:textId="77777777" w:rsidR="00D62D8F" w:rsidRPr="00682229" w:rsidRDefault="00D62D8F" w:rsidP="00FF53A9">
            <w:pPr>
              <w:spacing w:after="0" w:line="240" w:lineRule="auto"/>
              <w:jc w:val="center"/>
              <w:rPr>
                <w:rFonts w:ascii="Wingdings 3" w:hAnsi="Wingdings 3"/>
                <w:b/>
                <w:bCs/>
                <w:color w:val="FF0000"/>
                <w:sz w:val="28"/>
                <w:szCs w:val="28"/>
                <w:lang w:eastAsia="en-GB"/>
              </w:rPr>
            </w:pPr>
            <w:r w:rsidRPr="00682229">
              <w:rPr>
                <w:rFonts w:ascii="Wingdings 3" w:hAnsi="Wingdings 3"/>
                <w:b/>
                <w:bCs/>
                <w:color w:val="00B050"/>
                <w:sz w:val="28"/>
                <w:szCs w:val="28"/>
                <w:lang w:eastAsia="en-GB"/>
              </w:rPr>
              <w:t></w:t>
            </w:r>
          </w:p>
        </w:tc>
        <w:tc>
          <w:tcPr>
            <w:tcW w:w="851" w:type="dxa"/>
            <w:tcBorders>
              <w:top w:val="single" w:sz="4" w:space="0" w:color="auto"/>
              <w:left w:val="single" w:sz="4" w:space="0" w:color="auto"/>
              <w:bottom w:val="single" w:sz="4" w:space="0" w:color="auto"/>
              <w:right w:val="single" w:sz="4" w:space="0" w:color="auto"/>
            </w:tcBorders>
          </w:tcPr>
          <w:p w14:paraId="45ECA69C" w14:textId="77777777" w:rsidR="00D62D8F" w:rsidRPr="00682229" w:rsidRDefault="00D62D8F" w:rsidP="00FF53A9">
            <w:pPr>
              <w:spacing w:after="0" w:line="240" w:lineRule="auto"/>
              <w:jc w:val="center"/>
              <w:rPr>
                <w:rFonts w:ascii="Wingdings 3" w:hAnsi="Wingdings 3"/>
                <w:b/>
                <w:bCs/>
                <w:color w:val="00B050"/>
                <w:sz w:val="28"/>
                <w:szCs w:val="28"/>
                <w:lang w:eastAsia="en-GB"/>
              </w:rPr>
            </w:pPr>
            <w:r w:rsidRPr="00682229">
              <w:rPr>
                <w:rFonts w:ascii="Wingdings 3" w:hAnsi="Wingdings 3"/>
                <w:b/>
                <w:bCs/>
                <w:color w:val="00B050"/>
                <w:sz w:val="28"/>
                <w:szCs w:val="28"/>
                <w:lang w:eastAsia="en-GB"/>
              </w:rPr>
              <w:t></w:t>
            </w:r>
          </w:p>
        </w:tc>
        <w:tc>
          <w:tcPr>
            <w:tcW w:w="2126" w:type="dxa"/>
            <w:tcBorders>
              <w:top w:val="single" w:sz="4" w:space="0" w:color="auto"/>
              <w:left w:val="single" w:sz="4" w:space="0" w:color="auto"/>
              <w:bottom w:val="single" w:sz="4" w:space="0" w:color="auto"/>
              <w:right w:val="single" w:sz="4" w:space="0" w:color="auto"/>
            </w:tcBorders>
            <w:noWrap/>
            <w:vAlign w:val="center"/>
          </w:tcPr>
          <w:p w14:paraId="22C07DA6" w14:textId="77777777" w:rsidR="00D62D8F" w:rsidRPr="00682229" w:rsidRDefault="00D62D8F" w:rsidP="00FF53A9">
            <w:pPr>
              <w:spacing w:after="0" w:line="240" w:lineRule="auto"/>
              <w:jc w:val="center"/>
              <w:rPr>
                <w:rFonts w:ascii="Wingdings 3" w:hAnsi="Wingdings 3"/>
                <w:b/>
                <w:bCs/>
                <w:color w:val="00B050"/>
                <w:sz w:val="28"/>
                <w:szCs w:val="28"/>
                <w:lang w:eastAsia="en-GB"/>
              </w:rPr>
            </w:pPr>
            <w:r w:rsidRPr="00682229">
              <w:rPr>
                <w:rFonts w:ascii="Wingdings 3" w:hAnsi="Wingdings 3"/>
                <w:b/>
                <w:bCs/>
                <w:color w:val="FF0000"/>
                <w:sz w:val="28"/>
                <w:szCs w:val="28"/>
                <w:lang w:eastAsia="en-GB"/>
              </w:rPr>
              <w:t></w:t>
            </w:r>
          </w:p>
        </w:tc>
        <w:tc>
          <w:tcPr>
            <w:tcW w:w="1843" w:type="dxa"/>
            <w:tcBorders>
              <w:top w:val="single" w:sz="4" w:space="0" w:color="auto"/>
              <w:left w:val="single" w:sz="4" w:space="0" w:color="auto"/>
              <w:bottom w:val="single" w:sz="4" w:space="0" w:color="auto"/>
              <w:right w:val="single" w:sz="4" w:space="0" w:color="auto"/>
            </w:tcBorders>
            <w:noWrap/>
            <w:vAlign w:val="center"/>
          </w:tcPr>
          <w:p w14:paraId="4DA10E03" w14:textId="77777777" w:rsidR="00D62D8F" w:rsidRPr="00682229" w:rsidRDefault="00D62D8F" w:rsidP="00FF53A9">
            <w:pPr>
              <w:spacing w:after="0" w:line="240" w:lineRule="auto"/>
              <w:jc w:val="center"/>
              <w:rPr>
                <w:rFonts w:ascii="Wingdings 2" w:hAnsi="Wingdings 2"/>
                <w:b/>
                <w:bCs/>
                <w:color w:val="FF0000"/>
                <w:sz w:val="28"/>
                <w:szCs w:val="28"/>
                <w:lang w:eastAsia="en-GB"/>
              </w:rPr>
            </w:pPr>
            <w:r w:rsidRPr="00682229">
              <w:rPr>
                <w:rFonts w:ascii="Wingdings 2" w:hAnsi="Wingdings 2"/>
                <w:b/>
                <w:bCs/>
                <w:color w:val="FF0000"/>
                <w:sz w:val="28"/>
                <w:szCs w:val="28"/>
                <w:lang w:eastAsia="en-GB"/>
              </w:rPr>
              <w:t></w:t>
            </w:r>
          </w:p>
        </w:tc>
        <w:tc>
          <w:tcPr>
            <w:tcW w:w="1723" w:type="dxa"/>
            <w:vMerge/>
            <w:tcBorders>
              <w:top w:val="single" w:sz="4" w:space="0" w:color="auto"/>
              <w:left w:val="single" w:sz="4" w:space="0" w:color="auto"/>
              <w:bottom w:val="single" w:sz="4" w:space="0" w:color="auto"/>
              <w:right w:val="single" w:sz="4" w:space="0" w:color="auto"/>
            </w:tcBorders>
            <w:vAlign w:val="center"/>
          </w:tcPr>
          <w:p w14:paraId="36A37896" w14:textId="77777777" w:rsidR="00D62D8F" w:rsidRPr="00682229" w:rsidRDefault="00D62D8F" w:rsidP="00FF53A9">
            <w:pPr>
              <w:spacing w:after="0" w:line="240" w:lineRule="auto"/>
              <w:rPr>
                <w:rFonts w:ascii="Wingdings" w:hAnsi="Wingdings"/>
                <w:b/>
                <w:bCs/>
                <w:color w:val="00B050"/>
                <w:sz w:val="48"/>
                <w:szCs w:val="48"/>
                <w:lang w:eastAsia="en-GB"/>
              </w:rPr>
            </w:pPr>
          </w:p>
        </w:tc>
      </w:tr>
      <w:tr w:rsidR="00D62D8F" w:rsidRPr="00682229" w14:paraId="4A7EC848" w14:textId="77777777" w:rsidTr="007771B6">
        <w:trPr>
          <w:trHeight w:val="600"/>
        </w:trPr>
        <w:tc>
          <w:tcPr>
            <w:tcW w:w="1166" w:type="dxa"/>
            <w:tcBorders>
              <w:top w:val="nil"/>
              <w:left w:val="single" w:sz="4" w:space="0" w:color="auto"/>
              <w:bottom w:val="single" w:sz="4" w:space="0" w:color="auto"/>
              <w:right w:val="single" w:sz="4" w:space="0" w:color="auto"/>
            </w:tcBorders>
            <w:noWrap/>
            <w:vAlign w:val="center"/>
          </w:tcPr>
          <w:p w14:paraId="4F367A24" w14:textId="77777777" w:rsidR="00D62D8F" w:rsidRPr="00682229" w:rsidRDefault="00D62D8F" w:rsidP="00556A45">
            <w:pPr>
              <w:spacing w:after="0" w:line="240" w:lineRule="auto"/>
              <w:rPr>
                <w:rFonts w:ascii="Calibri" w:hAnsi="Calibri" w:cs="Arial"/>
                <w:color w:val="000000"/>
                <w:szCs w:val="24"/>
                <w:lang w:eastAsia="en-GB"/>
              </w:rPr>
            </w:pPr>
            <w:r w:rsidRPr="00682229">
              <w:rPr>
                <w:rFonts w:ascii="Calibri" w:hAnsi="Calibri" w:cs="Arial"/>
                <w:color w:val="000000"/>
                <w:szCs w:val="24"/>
                <w:lang w:eastAsia="en-GB"/>
              </w:rPr>
              <w:t>England</w:t>
            </w:r>
          </w:p>
        </w:tc>
        <w:tc>
          <w:tcPr>
            <w:tcW w:w="961" w:type="dxa"/>
            <w:tcBorders>
              <w:top w:val="nil"/>
              <w:left w:val="nil"/>
              <w:bottom w:val="single" w:sz="4" w:space="0" w:color="auto"/>
              <w:right w:val="single" w:sz="4" w:space="0" w:color="auto"/>
            </w:tcBorders>
            <w:noWrap/>
            <w:vAlign w:val="center"/>
          </w:tcPr>
          <w:p w14:paraId="77F8A4D8" w14:textId="77777777" w:rsidR="00D62D8F" w:rsidRPr="00682229" w:rsidRDefault="00D62D8F" w:rsidP="00D62D8F">
            <w:pPr>
              <w:spacing w:after="0" w:line="240" w:lineRule="auto"/>
              <w:jc w:val="center"/>
              <w:rPr>
                <w:rFonts w:ascii="Calibri" w:hAnsi="Calibri"/>
                <w:color w:val="000000"/>
                <w:szCs w:val="24"/>
                <w:lang w:eastAsia="en-GB"/>
              </w:rPr>
            </w:pPr>
            <w:r w:rsidRPr="00682229">
              <w:rPr>
                <w:rFonts w:ascii="Calibri" w:hAnsi="Calibri"/>
                <w:color w:val="000000"/>
                <w:szCs w:val="24"/>
                <w:lang w:eastAsia="en-GB"/>
              </w:rPr>
              <w:t>11.6%</w:t>
            </w:r>
          </w:p>
        </w:tc>
        <w:tc>
          <w:tcPr>
            <w:tcW w:w="850" w:type="dxa"/>
            <w:tcBorders>
              <w:top w:val="nil"/>
              <w:left w:val="nil"/>
              <w:bottom w:val="single" w:sz="4" w:space="0" w:color="auto"/>
              <w:right w:val="single" w:sz="4" w:space="0" w:color="auto"/>
            </w:tcBorders>
            <w:noWrap/>
            <w:vAlign w:val="center"/>
          </w:tcPr>
          <w:p w14:paraId="18D8F6A5" w14:textId="77777777" w:rsidR="00D62D8F" w:rsidRPr="00682229" w:rsidRDefault="00D62D8F" w:rsidP="00D62D8F">
            <w:pPr>
              <w:spacing w:after="0" w:line="240" w:lineRule="auto"/>
              <w:jc w:val="center"/>
              <w:rPr>
                <w:rFonts w:ascii="Calibri" w:hAnsi="Calibri"/>
                <w:color w:val="000000"/>
                <w:szCs w:val="24"/>
                <w:lang w:eastAsia="en-GB"/>
              </w:rPr>
            </w:pPr>
            <w:r w:rsidRPr="00682229">
              <w:rPr>
                <w:rFonts w:ascii="Calibri" w:hAnsi="Calibri"/>
                <w:color w:val="000000"/>
                <w:szCs w:val="24"/>
                <w:lang w:eastAsia="en-GB"/>
              </w:rPr>
              <w:t>12.8%</w:t>
            </w:r>
          </w:p>
        </w:tc>
        <w:tc>
          <w:tcPr>
            <w:tcW w:w="851" w:type="dxa"/>
            <w:tcBorders>
              <w:top w:val="single" w:sz="4" w:space="0" w:color="auto"/>
              <w:left w:val="nil"/>
              <w:bottom w:val="single" w:sz="4" w:space="0" w:color="auto"/>
              <w:right w:val="single" w:sz="4" w:space="0" w:color="auto"/>
            </w:tcBorders>
            <w:vAlign w:val="center"/>
          </w:tcPr>
          <w:p w14:paraId="567ADB4D" w14:textId="77777777" w:rsidR="00D62D8F" w:rsidRPr="00682229" w:rsidRDefault="00D62D8F" w:rsidP="00D62D8F">
            <w:pPr>
              <w:spacing w:after="0" w:line="240" w:lineRule="auto"/>
              <w:jc w:val="center"/>
              <w:rPr>
                <w:rFonts w:ascii="Calibri" w:hAnsi="Calibri"/>
                <w:color w:val="000000"/>
                <w:szCs w:val="24"/>
                <w:lang w:eastAsia="en-GB"/>
              </w:rPr>
            </w:pPr>
            <w:r w:rsidRPr="00682229">
              <w:rPr>
                <w:rFonts w:ascii="Calibri" w:hAnsi="Calibri"/>
                <w:color w:val="000000"/>
                <w:szCs w:val="24"/>
                <w:lang w:eastAsia="en-GB"/>
              </w:rPr>
              <w:t>15.7%</w:t>
            </w:r>
          </w:p>
        </w:tc>
        <w:tc>
          <w:tcPr>
            <w:tcW w:w="2126" w:type="dxa"/>
            <w:tcBorders>
              <w:top w:val="nil"/>
              <w:left w:val="single" w:sz="4" w:space="0" w:color="auto"/>
              <w:bottom w:val="single" w:sz="4" w:space="0" w:color="auto"/>
              <w:right w:val="single" w:sz="4" w:space="0" w:color="auto"/>
            </w:tcBorders>
            <w:noWrap/>
            <w:vAlign w:val="center"/>
          </w:tcPr>
          <w:p w14:paraId="423BFE20" w14:textId="77777777" w:rsidR="00D62D8F" w:rsidRPr="00682229" w:rsidRDefault="00D62D8F" w:rsidP="00FF53A9">
            <w:pPr>
              <w:spacing w:after="0" w:line="240" w:lineRule="auto"/>
              <w:jc w:val="center"/>
              <w:rPr>
                <w:rFonts w:ascii="Calibri" w:hAnsi="Calibri"/>
                <w:color w:val="000000"/>
                <w:szCs w:val="24"/>
                <w:lang w:eastAsia="en-GB"/>
              </w:rPr>
            </w:pPr>
            <w:r w:rsidRPr="00682229">
              <w:rPr>
                <w:rFonts w:ascii="Calibri" w:hAnsi="Calibri"/>
                <w:color w:val="000000"/>
                <w:szCs w:val="24"/>
                <w:lang w:eastAsia="en-GB"/>
              </w:rPr>
              <w:t>Not available</w:t>
            </w:r>
          </w:p>
        </w:tc>
        <w:tc>
          <w:tcPr>
            <w:tcW w:w="1843" w:type="dxa"/>
            <w:tcBorders>
              <w:top w:val="nil"/>
              <w:left w:val="nil"/>
              <w:bottom w:val="single" w:sz="4" w:space="0" w:color="auto"/>
              <w:right w:val="single" w:sz="4" w:space="0" w:color="auto"/>
            </w:tcBorders>
            <w:noWrap/>
            <w:vAlign w:val="center"/>
          </w:tcPr>
          <w:p w14:paraId="1290F3B6" w14:textId="77777777" w:rsidR="00D62D8F" w:rsidRPr="00682229" w:rsidRDefault="00D62D8F" w:rsidP="00FF53A9">
            <w:pPr>
              <w:spacing w:after="0" w:line="240" w:lineRule="auto"/>
              <w:jc w:val="center"/>
              <w:rPr>
                <w:rFonts w:ascii="Calibri" w:hAnsi="Calibri"/>
                <w:color w:val="000000"/>
                <w:szCs w:val="24"/>
                <w:lang w:eastAsia="en-GB"/>
              </w:rPr>
            </w:pPr>
            <w:r w:rsidRPr="00682229">
              <w:rPr>
                <w:rFonts w:ascii="Calibri" w:hAnsi="Calibri"/>
                <w:color w:val="000000"/>
                <w:szCs w:val="24"/>
                <w:lang w:eastAsia="en-GB"/>
              </w:rPr>
              <w:t>Higher</w:t>
            </w:r>
          </w:p>
        </w:tc>
        <w:tc>
          <w:tcPr>
            <w:tcW w:w="1723" w:type="dxa"/>
            <w:tcBorders>
              <w:top w:val="single" w:sz="4" w:space="0" w:color="auto"/>
              <w:left w:val="single" w:sz="4" w:space="0" w:color="auto"/>
              <w:bottom w:val="single" w:sz="4" w:space="0" w:color="auto"/>
              <w:right w:val="single" w:sz="4" w:space="0" w:color="auto"/>
            </w:tcBorders>
            <w:noWrap/>
            <w:vAlign w:val="center"/>
          </w:tcPr>
          <w:p w14:paraId="5DE237AD" w14:textId="77777777" w:rsidR="00D62D8F" w:rsidRPr="00682229" w:rsidRDefault="00D62D8F" w:rsidP="00FF53A9">
            <w:pPr>
              <w:spacing w:after="0" w:line="240" w:lineRule="auto"/>
              <w:jc w:val="center"/>
              <w:rPr>
                <w:rFonts w:ascii="Wingdings" w:hAnsi="Wingdings"/>
                <w:b/>
                <w:bCs/>
                <w:color w:val="FF0000"/>
                <w:sz w:val="48"/>
                <w:szCs w:val="48"/>
                <w:lang w:eastAsia="en-GB"/>
              </w:rPr>
            </w:pPr>
            <w:r w:rsidRPr="00682229">
              <w:rPr>
                <w:rFonts w:ascii="Wingdings" w:hAnsi="Wingdings"/>
                <w:b/>
                <w:bCs/>
                <w:color w:val="FF0000"/>
                <w:sz w:val="48"/>
                <w:szCs w:val="48"/>
                <w:lang w:eastAsia="en-GB"/>
              </w:rPr>
              <w:t></w:t>
            </w:r>
          </w:p>
        </w:tc>
      </w:tr>
    </w:tbl>
    <w:p w14:paraId="7CD6433A" w14:textId="77777777" w:rsidR="00FB4407" w:rsidRPr="00682229" w:rsidRDefault="00FB4407" w:rsidP="009F47A8">
      <w:pPr>
        <w:spacing w:after="120" w:line="288" w:lineRule="auto"/>
        <w:rPr>
          <w:rStyle w:val="SubtleReference"/>
        </w:rPr>
      </w:pPr>
    </w:p>
    <w:p w14:paraId="42DDF671" w14:textId="77777777" w:rsidR="00FB4407" w:rsidRPr="00682229" w:rsidRDefault="00FB4407" w:rsidP="009F47A8">
      <w:pPr>
        <w:spacing w:after="120" w:line="288" w:lineRule="auto"/>
        <w:rPr>
          <w:rStyle w:val="SubtleReference"/>
        </w:rPr>
      </w:pPr>
      <w:r w:rsidRPr="00682229">
        <w:rPr>
          <w:rStyle w:val="SubtleReference"/>
        </w:rPr>
        <w:t>Comment:</w:t>
      </w:r>
    </w:p>
    <w:p w14:paraId="584415F4" w14:textId="77777777" w:rsidR="00FB4407" w:rsidRPr="00682229" w:rsidRDefault="00FB4407" w:rsidP="004B3000">
      <w:pPr>
        <w:pStyle w:val="ListParagraph"/>
        <w:numPr>
          <w:ilvl w:val="0"/>
          <w:numId w:val="21"/>
        </w:numPr>
        <w:spacing w:before="120" w:after="120" w:line="288" w:lineRule="auto"/>
        <w:jc w:val="both"/>
        <w:rPr>
          <w:sz w:val="22"/>
        </w:rPr>
      </w:pPr>
      <w:r w:rsidRPr="00682229">
        <w:rPr>
          <w:sz w:val="22"/>
        </w:rPr>
        <w:t>In Lancashire, attainment at GCSE among the children looked after remained stable in 2012/13, but r</w:t>
      </w:r>
      <w:r w:rsidR="007771B6" w:rsidRPr="00682229">
        <w:rPr>
          <w:sz w:val="22"/>
        </w:rPr>
        <w:t xml:space="preserve">educed in 2013/14 with </w:t>
      </w:r>
      <w:r w:rsidR="007771B6" w:rsidRPr="00682229">
        <w:rPr>
          <w:b/>
          <w:sz w:val="22"/>
        </w:rPr>
        <w:t>8</w:t>
      </w:r>
      <w:r w:rsidR="007771B6" w:rsidRPr="00682229">
        <w:rPr>
          <w:sz w:val="22"/>
        </w:rPr>
        <w:t xml:space="preserve"> out of 100 CLA achieving 5 A*-C including English and Maths.</w:t>
      </w:r>
    </w:p>
    <w:p w14:paraId="470B27BA" w14:textId="77777777" w:rsidR="00FB4407" w:rsidRPr="00682229" w:rsidRDefault="00FB4407" w:rsidP="004B3000">
      <w:pPr>
        <w:pStyle w:val="ListParagraph"/>
        <w:numPr>
          <w:ilvl w:val="0"/>
          <w:numId w:val="21"/>
        </w:numPr>
        <w:spacing w:before="120" w:after="120" w:line="288" w:lineRule="auto"/>
        <w:jc w:val="both"/>
        <w:rPr>
          <w:sz w:val="22"/>
        </w:rPr>
      </w:pPr>
      <w:r w:rsidRPr="00682229">
        <w:rPr>
          <w:sz w:val="22"/>
        </w:rPr>
        <w:t>Across England</w:t>
      </w:r>
      <w:r w:rsidR="00D62D8F" w:rsidRPr="00682229">
        <w:rPr>
          <w:sz w:val="22"/>
        </w:rPr>
        <w:t xml:space="preserve"> in 2012/13</w:t>
      </w:r>
      <w:r w:rsidRPr="00682229">
        <w:rPr>
          <w:sz w:val="22"/>
        </w:rPr>
        <w:t xml:space="preserve">, just over </w:t>
      </w:r>
      <w:r w:rsidRPr="00682229">
        <w:rPr>
          <w:b/>
          <w:sz w:val="22"/>
        </w:rPr>
        <w:t>15</w:t>
      </w:r>
      <w:r w:rsidRPr="00682229">
        <w:rPr>
          <w:sz w:val="22"/>
        </w:rPr>
        <w:t xml:space="preserve"> per 100 children looked after achieved 5 A*-C</w:t>
      </w:r>
      <w:r w:rsidR="00205F3D" w:rsidRPr="00682229">
        <w:rPr>
          <w:sz w:val="22"/>
        </w:rPr>
        <w:t xml:space="preserve"> </w:t>
      </w:r>
      <w:proofErr w:type="spellStart"/>
      <w:r w:rsidR="00205F3D" w:rsidRPr="00682229">
        <w:rPr>
          <w:sz w:val="22"/>
        </w:rPr>
        <w:t>inc.</w:t>
      </w:r>
      <w:proofErr w:type="spellEnd"/>
      <w:r w:rsidR="00205F3D" w:rsidRPr="00682229">
        <w:rPr>
          <w:sz w:val="22"/>
        </w:rPr>
        <w:t xml:space="preserve"> English &amp; Maths</w:t>
      </w:r>
      <w:r w:rsidRPr="00682229">
        <w:rPr>
          <w:sz w:val="22"/>
        </w:rPr>
        <w:t xml:space="preserve">, slightly more than Lancashire's </w:t>
      </w:r>
      <w:r w:rsidRPr="00682229">
        <w:rPr>
          <w:b/>
          <w:sz w:val="22"/>
        </w:rPr>
        <w:t xml:space="preserve">13 </w:t>
      </w:r>
      <w:r w:rsidRPr="00682229">
        <w:rPr>
          <w:sz w:val="22"/>
        </w:rPr>
        <w:t>per 100.</w:t>
      </w:r>
    </w:p>
    <w:p w14:paraId="11FFEE9A" w14:textId="77777777" w:rsidR="00DD7676" w:rsidRPr="00682229" w:rsidRDefault="00DD7676" w:rsidP="004B3000">
      <w:pPr>
        <w:pStyle w:val="ListParagraph"/>
        <w:numPr>
          <w:ilvl w:val="0"/>
          <w:numId w:val="21"/>
        </w:numPr>
        <w:spacing w:before="120" w:after="120" w:line="288" w:lineRule="auto"/>
        <w:jc w:val="both"/>
        <w:rPr>
          <w:sz w:val="22"/>
        </w:rPr>
      </w:pPr>
      <w:r w:rsidRPr="00682229">
        <w:rPr>
          <w:sz w:val="22"/>
        </w:rPr>
        <w:t>The young people were shocked at these statistics and suggested the following reasons as to why this may be:</w:t>
      </w:r>
    </w:p>
    <w:p w14:paraId="2271503B" w14:textId="77777777" w:rsidR="00DD7676" w:rsidRPr="00682229" w:rsidRDefault="00DD7676" w:rsidP="00B26DA1">
      <w:pPr>
        <w:pStyle w:val="ListParagraph"/>
        <w:numPr>
          <w:ilvl w:val="1"/>
          <w:numId w:val="21"/>
        </w:numPr>
        <w:spacing w:before="120" w:after="120" w:line="288" w:lineRule="auto"/>
        <w:jc w:val="both"/>
        <w:rPr>
          <w:sz w:val="22"/>
        </w:rPr>
      </w:pPr>
      <w:r w:rsidRPr="00682229">
        <w:rPr>
          <w:sz w:val="22"/>
        </w:rPr>
        <w:t xml:space="preserve">CLA </w:t>
      </w:r>
      <w:r w:rsidR="00B26DA1" w:rsidRPr="00682229">
        <w:rPr>
          <w:sz w:val="22"/>
        </w:rPr>
        <w:t xml:space="preserve">are </w:t>
      </w:r>
      <w:r w:rsidRPr="00682229">
        <w:rPr>
          <w:sz w:val="22"/>
        </w:rPr>
        <w:t xml:space="preserve">pulled out of lessons by social workers. Meetings may </w:t>
      </w:r>
      <w:r w:rsidR="00B26DA1" w:rsidRPr="00682229">
        <w:rPr>
          <w:sz w:val="22"/>
        </w:rPr>
        <w:t xml:space="preserve">also </w:t>
      </w:r>
      <w:r w:rsidRPr="00682229">
        <w:rPr>
          <w:sz w:val="22"/>
        </w:rPr>
        <w:t xml:space="preserve">run over and as such CLA are missing too much time from their lessons. One young person missed an exam due to this and did not receive an apology which upset them. </w:t>
      </w:r>
    </w:p>
    <w:p w14:paraId="701FA971" w14:textId="77777777" w:rsidR="00DD7676" w:rsidRPr="00682229" w:rsidRDefault="00DD7676" w:rsidP="00B26DA1">
      <w:pPr>
        <w:pStyle w:val="ListParagraph"/>
        <w:numPr>
          <w:ilvl w:val="1"/>
          <w:numId w:val="21"/>
        </w:numPr>
        <w:spacing w:before="120" w:after="120" w:line="288" w:lineRule="auto"/>
        <w:jc w:val="both"/>
        <w:rPr>
          <w:sz w:val="22"/>
        </w:rPr>
      </w:pPr>
      <w:r w:rsidRPr="00682229">
        <w:rPr>
          <w:sz w:val="22"/>
        </w:rPr>
        <w:t xml:space="preserve">The young people suggested that if staff have to visit them whilst in school, to plan better in terms of meeting the young person </w:t>
      </w:r>
      <w:r w:rsidR="00FE1DF8" w:rsidRPr="00682229">
        <w:rPr>
          <w:sz w:val="22"/>
        </w:rPr>
        <w:t>on a break or at lunch time. It was also suggested that it may</w:t>
      </w:r>
      <w:r w:rsidR="00F033B4" w:rsidRPr="00682229">
        <w:rPr>
          <w:sz w:val="22"/>
        </w:rPr>
        <w:t xml:space="preserve"> better</w:t>
      </w:r>
      <w:r w:rsidR="00FE1DF8" w:rsidRPr="00682229">
        <w:rPr>
          <w:sz w:val="22"/>
        </w:rPr>
        <w:t xml:space="preserve"> suit the young person better to be removed from certain lessons if they are confident or feel that they're ahead within the lesson.</w:t>
      </w:r>
      <w:r w:rsidR="00F033B4" w:rsidRPr="00682229">
        <w:rPr>
          <w:sz w:val="22"/>
        </w:rPr>
        <w:t xml:space="preserve"> </w:t>
      </w:r>
    </w:p>
    <w:p w14:paraId="0FB4A385" w14:textId="1B2DDFE5" w:rsidR="0004538B" w:rsidRPr="00682229" w:rsidRDefault="0004538B" w:rsidP="00B26DA1">
      <w:pPr>
        <w:pStyle w:val="ListParagraph"/>
        <w:numPr>
          <w:ilvl w:val="1"/>
          <w:numId w:val="21"/>
        </w:numPr>
        <w:spacing w:before="120" w:after="120" w:line="288" w:lineRule="auto"/>
        <w:jc w:val="both"/>
        <w:rPr>
          <w:sz w:val="22"/>
        </w:rPr>
      </w:pPr>
      <w:r w:rsidRPr="00682229">
        <w:rPr>
          <w:sz w:val="22"/>
        </w:rPr>
        <w:t>The stress of placement moves, which sometimes require a change in school, was also highlighted. Due to the nature of schools covering parts of the curriculum at different times of the year, those moving schools may miss vital parts of the syllabus.</w:t>
      </w:r>
    </w:p>
    <w:p w14:paraId="1FF1D2BA" w14:textId="0F70AF25" w:rsidR="0004538B" w:rsidRPr="00682229" w:rsidRDefault="0004538B" w:rsidP="00B26DA1">
      <w:pPr>
        <w:pStyle w:val="ListParagraph"/>
        <w:numPr>
          <w:ilvl w:val="1"/>
          <w:numId w:val="21"/>
        </w:numPr>
        <w:spacing w:before="120" w:after="120" w:line="288" w:lineRule="auto"/>
        <w:jc w:val="both"/>
        <w:rPr>
          <w:sz w:val="22"/>
        </w:rPr>
      </w:pPr>
      <w:r w:rsidRPr="00682229">
        <w:rPr>
          <w:sz w:val="22"/>
        </w:rPr>
        <w:lastRenderedPageBreak/>
        <w:t>Young people would like additional tutors to be made available in children's homes and for those children that are fostered. Looked after children should be entitled to additional support where school moves occur.</w:t>
      </w:r>
    </w:p>
    <w:p w14:paraId="39D94059" w14:textId="76D70501" w:rsidR="00B01CE6" w:rsidRPr="00682229" w:rsidRDefault="00B01CE6" w:rsidP="00B01CE6">
      <w:pPr>
        <w:pStyle w:val="ListParagraph"/>
        <w:numPr>
          <w:ilvl w:val="0"/>
          <w:numId w:val="21"/>
        </w:numPr>
        <w:spacing w:before="120" w:after="120" w:line="288" w:lineRule="auto"/>
        <w:jc w:val="both"/>
        <w:rPr>
          <w:sz w:val="22"/>
        </w:rPr>
      </w:pPr>
      <w:r w:rsidRPr="00682229">
        <w:rPr>
          <w:sz w:val="22"/>
        </w:rPr>
        <w:t>Young people believe the target performance for CLA achieving 5 GCSEs at A* - C should be 100%. They feel that children undertaking other courses would mean that this wouldn't be attainable, therefore those completing other courses and qualifications should also be included.</w:t>
      </w:r>
    </w:p>
    <w:p w14:paraId="18972638" w14:textId="2E51B5B5" w:rsidR="00B01CE6" w:rsidRPr="00682229" w:rsidRDefault="00B01CE6" w:rsidP="00326F2C">
      <w:pPr>
        <w:pStyle w:val="ListParagraph"/>
        <w:numPr>
          <w:ilvl w:val="1"/>
          <w:numId w:val="21"/>
        </w:numPr>
        <w:spacing w:before="120" w:after="120" w:line="288" w:lineRule="auto"/>
        <w:jc w:val="both"/>
        <w:rPr>
          <w:sz w:val="22"/>
        </w:rPr>
      </w:pPr>
      <w:r w:rsidRPr="00682229">
        <w:rPr>
          <w:sz w:val="22"/>
        </w:rPr>
        <w:t>Whilst the above is a good idea to include the results obtained by children undertaking alternative education, this</w:t>
      </w:r>
      <w:r w:rsidR="0004538B" w:rsidRPr="00682229">
        <w:rPr>
          <w:sz w:val="22"/>
        </w:rPr>
        <w:t xml:space="preserve"> performance</w:t>
      </w:r>
      <w:r w:rsidRPr="00682229">
        <w:rPr>
          <w:sz w:val="22"/>
        </w:rPr>
        <w:t xml:space="preserve"> indicator is calculated in </w:t>
      </w:r>
      <w:r w:rsidR="0004538B" w:rsidRPr="00682229">
        <w:rPr>
          <w:sz w:val="22"/>
        </w:rPr>
        <w:t>this</w:t>
      </w:r>
      <w:r w:rsidRPr="00682229">
        <w:rPr>
          <w:sz w:val="22"/>
        </w:rPr>
        <w:t xml:space="preserve"> manner as it is a national indicator and all authorities are required to provide information on those achieving 5 GCSEs</w:t>
      </w:r>
      <w:r w:rsidR="0004538B" w:rsidRPr="00682229">
        <w:rPr>
          <w:sz w:val="22"/>
        </w:rPr>
        <w:t>,</w:t>
      </w:r>
      <w:r w:rsidRPr="00682229">
        <w:rPr>
          <w:sz w:val="22"/>
        </w:rPr>
        <w:t xml:space="preserve"> including English and Maths</w:t>
      </w:r>
      <w:r w:rsidR="0004538B" w:rsidRPr="00682229">
        <w:rPr>
          <w:sz w:val="22"/>
        </w:rPr>
        <w:t>.</w:t>
      </w:r>
    </w:p>
    <w:p w14:paraId="09B4553B" w14:textId="77777777" w:rsidR="007771B6" w:rsidRPr="00335C79" w:rsidRDefault="007771B6" w:rsidP="007771B6">
      <w:pPr>
        <w:spacing w:before="120" w:after="120" w:line="288" w:lineRule="auto"/>
        <w:jc w:val="both"/>
        <w:rPr>
          <w:sz w:val="22"/>
          <w:highlight w:val="yellow"/>
        </w:rPr>
      </w:pPr>
    </w:p>
    <w:p w14:paraId="6636719A" w14:textId="77777777" w:rsidR="007771B6" w:rsidRPr="00682229" w:rsidRDefault="007771B6" w:rsidP="007771B6">
      <w:pPr>
        <w:spacing w:before="120" w:after="120" w:line="288" w:lineRule="auto"/>
        <w:jc w:val="both"/>
        <w:rPr>
          <w:sz w:val="22"/>
        </w:rPr>
      </w:pPr>
    </w:p>
    <w:p w14:paraId="51B1117D" w14:textId="77777777" w:rsidR="007771B6" w:rsidRPr="00682229" w:rsidRDefault="007771B6" w:rsidP="007771B6">
      <w:pPr>
        <w:spacing w:before="120" w:after="120" w:line="288" w:lineRule="auto"/>
        <w:jc w:val="both"/>
        <w:rPr>
          <w:sz w:val="22"/>
        </w:rPr>
      </w:pPr>
    </w:p>
    <w:p w14:paraId="10F8BB82" w14:textId="77777777" w:rsidR="00FB4407" w:rsidRPr="00682229" w:rsidRDefault="0011131C" w:rsidP="00A876BB">
      <w:pPr>
        <w:spacing w:after="120" w:line="288" w:lineRule="auto"/>
        <w:rPr>
          <w:rStyle w:val="IntenseReference"/>
        </w:rPr>
      </w:pPr>
      <w:r w:rsidRPr="00682229">
        <w:rPr>
          <w:noProof/>
          <w:lang w:eastAsia="en-GB"/>
        </w:rPr>
        <w:drawing>
          <wp:anchor distT="0" distB="0" distL="114300" distR="114300" simplePos="0" relativeHeight="251662336" behindDoc="1" locked="0" layoutInCell="1" allowOverlap="1" wp14:anchorId="226A8EE9" wp14:editId="6CF956BC">
            <wp:simplePos x="0" y="0"/>
            <wp:positionH relativeFrom="column">
              <wp:posOffset>4380230</wp:posOffset>
            </wp:positionH>
            <wp:positionV relativeFrom="paragraph">
              <wp:posOffset>-6985</wp:posOffset>
            </wp:positionV>
            <wp:extent cx="1551305" cy="781050"/>
            <wp:effectExtent l="0" t="0" r="0" b="0"/>
            <wp:wrapTight wrapText="bothSides">
              <wp:wrapPolygon edited="0">
                <wp:start x="0" y="0"/>
                <wp:lineTo x="0" y="21073"/>
                <wp:lineTo x="21220" y="21073"/>
                <wp:lineTo x="21220" y="0"/>
                <wp:lineTo x="0" y="0"/>
              </wp:wrapPolygon>
            </wp:wrapTight>
            <wp:docPr id="5" name="Picture 12" descr="Bu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s.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1305" cy="781050"/>
                    </a:xfrm>
                    <a:prstGeom prst="rect">
                      <a:avLst/>
                    </a:prstGeom>
                    <a:noFill/>
                  </pic:spPr>
                </pic:pic>
              </a:graphicData>
            </a:graphic>
            <wp14:sizeRelH relativeFrom="page">
              <wp14:pctWidth>0</wp14:pctWidth>
            </wp14:sizeRelH>
            <wp14:sizeRelV relativeFrom="page">
              <wp14:pctHeight>0</wp14:pctHeight>
            </wp14:sizeRelV>
          </wp:anchor>
        </w:drawing>
      </w:r>
      <w:r w:rsidR="00FB4407" w:rsidRPr="00682229">
        <w:rPr>
          <w:rStyle w:val="IntenseReference"/>
        </w:rPr>
        <w:t>Attendance at School by Children Looked After</w:t>
      </w:r>
    </w:p>
    <w:p w14:paraId="313E2E90" w14:textId="77777777" w:rsidR="00FB4407" w:rsidRPr="00682229" w:rsidRDefault="00FB4407" w:rsidP="006C30AB">
      <w:pPr>
        <w:spacing w:after="120" w:line="288" w:lineRule="auto"/>
        <w:rPr>
          <w:sz w:val="22"/>
        </w:rPr>
      </w:pPr>
      <w:r w:rsidRPr="00682229">
        <w:rPr>
          <w:sz w:val="22"/>
        </w:rPr>
        <w:t>Attendance at school is expressed as a percentage of all possible school sessions attended by all children looked after:</w:t>
      </w:r>
    </w:p>
    <w:p w14:paraId="398D16F7" w14:textId="77777777" w:rsidR="00FB4407" w:rsidRPr="00682229" w:rsidRDefault="00FB4407" w:rsidP="00CC14A4">
      <w:pPr>
        <w:pStyle w:val="ListParagraph"/>
        <w:numPr>
          <w:ilvl w:val="0"/>
          <w:numId w:val="8"/>
        </w:numPr>
        <w:spacing w:after="120" w:line="288" w:lineRule="auto"/>
        <w:jc w:val="both"/>
        <w:rPr>
          <w:sz w:val="22"/>
        </w:rPr>
      </w:pPr>
      <w:r w:rsidRPr="00682229">
        <w:rPr>
          <w:sz w:val="22"/>
        </w:rPr>
        <w:t xml:space="preserve">Attendance in primary school was </w:t>
      </w:r>
      <w:r w:rsidR="00E44253" w:rsidRPr="00682229">
        <w:rPr>
          <w:sz w:val="22"/>
        </w:rPr>
        <w:t>above</w:t>
      </w:r>
      <w:r w:rsidRPr="00682229">
        <w:rPr>
          <w:sz w:val="22"/>
        </w:rPr>
        <w:t xml:space="preserve"> target</w:t>
      </w:r>
      <w:r w:rsidR="00E44253" w:rsidRPr="00682229">
        <w:rPr>
          <w:sz w:val="22"/>
        </w:rPr>
        <w:t xml:space="preserve"> in 2013/14</w:t>
      </w:r>
      <w:r w:rsidRPr="00682229">
        <w:rPr>
          <w:sz w:val="22"/>
        </w:rPr>
        <w:t xml:space="preserve"> with all children looked after only missing </w:t>
      </w:r>
      <w:r w:rsidR="00E44253" w:rsidRPr="00682229">
        <w:rPr>
          <w:b/>
          <w:sz w:val="22"/>
        </w:rPr>
        <w:t>4</w:t>
      </w:r>
      <w:r w:rsidRPr="00682229">
        <w:rPr>
          <w:sz w:val="22"/>
        </w:rPr>
        <w:t xml:space="preserve"> out of every 100 sessions in school</w:t>
      </w:r>
    </w:p>
    <w:p w14:paraId="74B6D499" w14:textId="77777777" w:rsidR="00E44253" w:rsidRPr="00682229" w:rsidRDefault="00FB4407" w:rsidP="00CC14A4">
      <w:pPr>
        <w:pStyle w:val="ListParagraph"/>
        <w:numPr>
          <w:ilvl w:val="0"/>
          <w:numId w:val="8"/>
        </w:numPr>
        <w:spacing w:after="120" w:line="288" w:lineRule="auto"/>
        <w:jc w:val="both"/>
        <w:rPr>
          <w:sz w:val="22"/>
        </w:rPr>
      </w:pPr>
      <w:r w:rsidRPr="00682229">
        <w:rPr>
          <w:sz w:val="22"/>
        </w:rPr>
        <w:t xml:space="preserve">Attendance in secondary school was </w:t>
      </w:r>
      <w:r w:rsidR="00E44253" w:rsidRPr="00682229">
        <w:rPr>
          <w:sz w:val="22"/>
        </w:rPr>
        <w:t>better</w:t>
      </w:r>
      <w:r w:rsidRPr="00682229">
        <w:rPr>
          <w:sz w:val="22"/>
        </w:rPr>
        <w:t xml:space="preserve"> than last year, with all children looked after missing </w:t>
      </w:r>
      <w:r w:rsidR="00E44253" w:rsidRPr="00682229">
        <w:rPr>
          <w:b/>
          <w:sz w:val="22"/>
        </w:rPr>
        <w:t>5</w:t>
      </w:r>
      <w:r w:rsidRPr="00682229">
        <w:rPr>
          <w:sz w:val="22"/>
        </w:rPr>
        <w:t xml:space="preserve"> out of every 100 sessions</w:t>
      </w:r>
      <w:r w:rsidR="00A77AF6" w:rsidRPr="00682229">
        <w:rPr>
          <w:sz w:val="22"/>
        </w:rPr>
        <w:t xml:space="preserve"> possible</w:t>
      </w:r>
      <w:r w:rsidRPr="00682229">
        <w:rPr>
          <w:sz w:val="22"/>
        </w:rPr>
        <w:t xml:space="preserve"> in school</w:t>
      </w:r>
      <w:r w:rsidR="00C6276A" w:rsidRPr="00682229">
        <w:rPr>
          <w:sz w:val="22"/>
        </w:rPr>
        <w:t>.</w:t>
      </w:r>
    </w:p>
    <w:p w14:paraId="2506EDBD" w14:textId="77777777" w:rsidR="00FB4407" w:rsidRPr="00682229" w:rsidRDefault="00C6276A" w:rsidP="00CC14A4">
      <w:pPr>
        <w:pStyle w:val="ListParagraph"/>
        <w:numPr>
          <w:ilvl w:val="0"/>
          <w:numId w:val="8"/>
        </w:numPr>
        <w:spacing w:after="120" w:line="288" w:lineRule="auto"/>
        <w:jc w:val="both"/>
        <w:rPr>
          <w:sz w:val="22"/>
        </w:rPr>
      </w:pPr>
      <w:r w:rsidRPr="00682229">
        <w:rPr>
          <w:sz w:val="22"/>
        </w:rPr>
        <w:t>There are two sessions possible each school day; a morning session and an afternoon session. If a child is absent for a lesson in either they are deemed as absent.</w:t>
      </w:r>
    </w:p>
    <w:tbl>
      <w:tblPr>
        <w:tblW w:w="9520" w:type="dxa"/>
        <w:tblInd w:w="108" w:type="dxa"/>
        <w:tblLook w:val="00A0" w:firstRow="1" w:lastRow="0" w:firstColumn="1" w:lastColumn="0" w:noHBand="0" w:noVBand="0"/>
      </w:tblPr>
      <w:tblGrid>
        <w:gridCol w:w="1234"/>
        <w:gridCol w:w="1233"/>
        <w:gridCol w:w="1106"/>
        <w:gridCol w:w="968"/>
        <w:gridCol w:w="2084"/>
        <w:gridCol w:w="1202"/>
        <w:gridCol w:w="1698"/>
      </w:tblGrid>
      <w:tr w:rsidR="00D40593" w:rsidRPr="00682229" w14:paraId="096C6F2F" w14:textId="77777777" w:rsidTr="00D40593">
        <w:trPr>
          <w:trHeight w:val="315"/>
        </w:trPr>
        <w:tc>
          <w:tcPr>
            <w:tcW w:w="1229" w:type="dxa"/>
            <w:tcBorders>
              <w:top w:val="nil"/>
              <w:left w:val="nil"/>
              <w:bottom w:val="nil"/>
              <w:right w:val="nil"/>
            </w:tcBorders>
            <w:noWrap/>
            <w:vAlign w:val="bottom"/>
          </w:tcPr>
          <w:p w14:paraId="15DB44C1" w14:textId="77777777" w:rsidR="00D40593" w:rsidRPr="00682229" w:rsidRDefault="00D40593" w:rsidP="00D578B9">
            <w:pPr>
              <w:spacing w:after="0" w:line="240" w:lineRule="auto"/>
              <w:rPr>
                <w:rFonts w:cs="Arial"/>
                <w:color w:val="000000"/>
                <w:szCs w:val="24"/>
                <w:lang w:eastAsia="en-GB"/>
              </w:rPr>
            </w:pPr>
          </w:p>
        </w:tc>
        <w:tc>
          <w:tcPr>
            <w:tcW w:w="3307" w:type="dxa"/>
            <w:gridSpan w:val="3"/>
            <w:tcBorders>
              <w:top w:val="single" w:sz="4" w:space="0" w:color="auto"/>
              <w:left w:val="single" w:sz="4" w:space="0" w:color="auto"/>
              <w:bottom w:val="single" w:sz="4" w:space="0" w:color="auto"/>
              <w:right w:val="single" w:sz="4" w:space="0" w:color="auto"/>
            </w:tcBorders>
            <w:shd w:val="clear" w:color="000000" w:fill="EAF1DD"/>
            <w:noWrap/>
            <w:vAlign w:val="center"/>
          </w:tcPr>
          <w:p w14:paraId="17E95278" w14:textId="77777777" w:rsidR="00D40593" w:rsidRPr="00682229" w:rsidRDefault="00D40593" w:rsidP="00D578B9">
            <w:pPr>
              <w:spacing w:after="0" w:line="240" w:lineRule="auto"/>
              <w:jc w:val="center"/>
              <w:rPr>
                <w:rFonts w:ascii="Calibri" w:hAnsi="Calibri"/>
                <w:color w:val="000000"/>
                <w:szCs w:val="24"/>
                <w:lang w:eastAsia="en-GB"/>
              </w:rPr>
            </w:pPr>
            <w:r w:rsidRPr="00682229">
              <w:rPr>
                <w:rFonts w:ascii="Calibri" w:hAnsi="Calibri"/>
                <w:color w:val="000000"/>
                <w:szCs w:val="24"/>
                <w:lang w:eastAsia="en-GB"/>
              </w:rPr>
              <w:t>Previous Performance</w:t>
            </w:r>
          </w:p>
        </w:tc>
        <w:tc>
          <w:tcPr>
            <w:tcW w:w="2084" w:type="dxa"/>
            <w:tcBorders>
              <w:top w:val="single" w:sz="4" w:space="0" w:color="auto"/>
              <w:left w:val="nil"/>
              <w:bottom w:val="single" w:sz="4" w:space="0" w:color="auto"/>
              <w:right w:val="single" w:sz="4" w:space="0" w:color="auto"/>
            </w:tcBorders>
            <w:shd w:val="clear" w:color="000000" w:fill="EAF1DD"/>
            <w:noWrap/>
            <w:vAlign w:val="center"/>
          </w:tcPr>
          <w:p w14:paraId="6D0D7B77" w14:textId="77777777" w:rsidR="00D40593" w:rsidRPr="00682229" w:rsidRDefault="00D40593" w:rsidP="00D578B9">
            <w:pPr>
              <w:spacing w:after="0" w:line="240" w:lineRule="auto"/>
              <w:jc w:val="center"/>
              <w:rPr>
                <w:rFonts w:ascii="Calibri" w:hAnsi="Calibri"/>
                <w:color w:val="000000"/>
                <w:szCs w:val="24"/>
                <w:lang w:eastAsia="en-GB"/>
              </w:rPr>
            </w:pPr>
            <w:r w:rsidRPr="00682229">
              <w:rPr>
                <w:rFonts w:ascii="Calibri" w:hAnsi="Calibri"/>
                <w:color w:val="000000"/>
                <w:szCs w:val="24"/>
                <w:lang w:eastAsia="en-GB"/>
              </w:rPr>
              <w:t>Current Performance</w:t>
            </w:r>
          </w:p>
        </w:tc>
        <w:tc>
          <w:tcPr>
            <w:tcW w:w="1202" w:type="dxa"/>
            <w:tcBorders>
              <w:top w:val="single" w:sz="4" w:space="0" w:color="auto"/>
              <w:left w:val="nil"/>
              <w:bottom w:val="single" w:sz="4" w:space="0" w:color="auto"/>
              <w:right w:val="single" w:sz="4" w:space="0" w:color="auto"/>
            </w:tcBorders>
            <w:shd w:val="clear" w:color="000000" w:fill="EAF1DD"/>
            <w:noWrap/>
            <w:vAlign w:val="center"/>
          </w:tcPr>
          <w:p w14:paraId="39467513" w14:textId="77777777" w:rsidR="00D40593" w:rsidRPr="00682229" w:rsidRDefault="00D40593" w:rsidP="00D578B9">
            <w:pPr>
              <w:spacing w:after="0" w:line="240" w:lineRule="auto"/>
              <w:jc w:val="center"/>
              <w:rPr>
                <w:rFonts w:ascii="Calibri" w:hAnsi="Calibri"/>
                <w:color w:val="000000"/>
                <w:szCs w:val="24"/>
                <w:lang w:eastAsia="en-GB"/>
              </w:rPr>
            </w:pPr>
            <w:r w:rsidRPr="00682229">
              <w:rPr>
                <w:rFonts w:ascii="Calibri" w:hAnsi="Calibri"/>
                <w:color w:val="000000"/>
                <w:szCs w:val="24"/>
                <w:lang w:eastAsia="en-GB"/>
              </w:rPr>
              <w:t>Target</w:t>
            </w:r>
          </w:p>
        </w:tc>
        <w:tc>
          <w:tcPr>
            <w:tcW w:w="1698" w:type="dxa"/>
            <w:vMerge w:val="restart"/>
            <w:tcBorders>
              <w:top w:val="single" w:sz="4" w:space="0" w:color="auto"/>
              <w:left w:val="single" w:sz="4" w:space="0" w:color="auto"/>
              <w:bottom w:val="single" w:sz="4" w:space="0" w:color="auto"/>
              <w:right w:val="single" w:sz="4" w:space="0" w:color="auto"/>
            </w:tcBorders>
            <w:shd w:val="clear" w:color="000000" w:fill="EAF1DD"/>
            <w:vAlign w:val="center"/>
          </w:tcPr>
          <w:p w14:paraId="5F0622A8" w14:textId="77777777" w:rsidR="00D40593" w:rsidRPr="00682229" w:rsidRDefault="00D40593" w:rsidP="00D578B9">
            <w:pPr>
              <w:spacing w:after="0" w:line="240" w:lineRule="auto"/>
              <w:jc w:val="center"/>
              <w:rPr>
                <w:rFonts w:ascii="Calibri" w:hAnsi="Calibri"/>
                <w:color w:val="000000"/>
                <w:szCs w:val="24"/>
                <w:lang w:eastAsia="en-GB"/>
              </w:rPr>
            </w:pPr>
            <w:r w:rsidRPr="00682229">
              <w:rPr>
                <w:rFonts w:ascii="Calibri" w:hAnsi="Calibri"/>
                <w:color w:val="000000"/>
                <w:szCs w:val="24"/>
                <w:lang w:eastAsia="en-GB"/>
              </w:rPr>
              <w:t>Performance Direction?</w:t>
            </w:r>
          </w:p>
        </w:tc>
      </w:tr>
      <w:tr w:rsidR="00D40593" w:rsidRPr="00682229" w14:paraId="2F5EEC77" w14:textId="77777777" w:rsidTr="007771B6">
        <w:trPr>
          <w:trHeight w:val="315"/>
        </w:trPr>
        <w:tc>
          <w:tcPr>
            <w:tcW w:w="1229" w:type="dxa"/>
            <w:tcBorders>
              <w:top w:val="nil"/>
              <w:left w:val="nil"/>
              <w:bottom w:val="nil"/>
              <w:right w:val="nil"/>
            </w:tcBorders>
            <w:noWrap/>
            <w:vAlign w:val="bottom"/>
          </w:tcPr>
          <w:p w14:paraId="1FF223FC" w14:textId="77777777" w:rsidR="00D40593" w:rsidRPr="00682229" w:rsidRDefault="00D40593" w:rsidP="00D578B9">
            <w:pPr>
              <w:spacing w:after="0" w:line="240" w:lineRule="auto"/>
              <w:rPr>
                <w:rFonts w:cs="Arial"/>
                <w:color w:val="000000"/>
                <w:szCs w:val="24"/>
                <w:lang w:eastAsia="en-GB"/>
              </w:rPr>
            </w:pPr>
          </w:p>
        </w:tc>
        <w:tc>
          <w:tcPr>
            <w:tcW w:w="1233" w:type="dxa"/>
            <w:tcBorders>
              <w:top w:val="nil"/>
              <w:left w:val="single" w:sz="4" w:space="0" w:color="auto"/>
              <w:bottom w:val="single" w:sz="4" w:space="0" w:color="auto"/>
              <w:right w:val="single" w:sz="4" w:space="0" w:color="auto"/>
            </w:tcBorders>
            <w:shd w:val="clear" w:color="000000" w:fill="EAF1DD"/>
            <w:noWrap/>
            <w:vAlign w:val="center"/>
          </w:tcPr>
          <w:p w14:paraId="275B4015" w14:textId="77777777" w:rsidR="00D40593" w:rsidRPr="00682229" w:rsidRDefault="00D40593" w:rsidP="00D578B9">
            <w:pPr>
              <w:spacing w:after="0" w:line="240" w:lineRule="auto"/>
              <w:jc w:val="center"/>
              <w:rPr>
                <w:rFonts w:ascii="Calibri" w:hAnsi="Calibri"/>
                <w:color w:val="000000"/>
                <w:szCs w:val="24"/>
                <w:lang w:eastAsia="en-GB"/>
              </w:rPr>
            </w:pPr>
            <w:r w:rsidRPr="00682229">
              <w:rPr>
                <w:rFonts w:ascii="Calibri" w:hAnsi="Calibri"/>
                <w:color w:val="000000"/>
                <w:szCs w:val="24"/>
                <w:lang w:eastAsia="en-GB"/>
              </w:rPr>
              <w:t>10/11</w:t>
            </w:r>
          </w:p>
        </w:tc>
        <w:tc>
          <w:tcPr>
            <w:tcW w:w="1106" w:type="dxa"/>
            <w:tcBorders>
              <w:top w:val="nil"/>
              <w:left w:val="nil"/>
              <w:bottom w:val="single" w:sz="4" w:space="0" w:color="auto"/>
              <w:right w:val="single" w:sz="4" w:space="0" w:color="auto"/>
            </w:tcBorders>
            <w:shd w:val="clear" w:color="000000" w:fill="EAF1DD"/>
            <w:noWrap/>
            <w:vAlign w:val="center"/>
          </w:tcPr>
          <w:p w14:paraId="72B62EAE" w14:textId="77777777" w:rsidR="00D40593" w:rsidRPr="00682229" w:rsidRDefault="00D40593" w:rsidP="00D578B9">
            <w:pPr>
              <w:spacing w:after="0" w:line="240" w:lineRule="auto"/>
              <w:jc w:val="center"/>
              <w:rPr>
                <w:rFonts w:ascii="Calibri" w:hAnsi="Calibri"/>
                <w:color w:val="000000"/>
                <w:szCs w:val="24"/>
                <w:lang w:eastAsia="en-GB"/>
              </w:rPr>
            </w:pPr>
            <w:r w:rsidRPr="00682229">
              <w:rPr>
                <w:rFonts w:ascii="Calibri" w:hAnsi="Calibri"/>
                <w:color w:val="000000"/>
                <w:szCs w:val="24"/>
                <w:lang w:eastAsia="en-GB"/>
              </w:rPr>
              <w:t>11/12</w:t>
            </w:r>
          </w:p>
        </w:tc>
        <w:tc>
          <w:tcPr>
            <w:tcW w:w="968" w:type="dxa"/>
            <w:tcBorders>
              <w:top w:val="nil"/>
              <w:left w:val="nil"/>
              <w:bottom w:val="single" w:sz="4" w:space="0" w:color="auto"/>
              <w:right w:val="single" w:sz="4" w:space="0" w:color="auto"/>
            </w:tcBorders>
            <w:shd w:val="clear" w:color="000000" w:fill="EAF1DD"/>
          </w:tcPr>
          <w:p w14:paraId="5229CD3C" w14:textId="77777777" w:rsidR="00D40593" w:rsidRPr="00682229" w:rsidRDefault="00D40593" w:rsidP="00D578B9">
            <w:pPr>
              <w:spacing w:after="0" w:line="240" w:lineRule="auto"/>
              <w:jc w:val="center"/>
              <w:rPr>
                <w:rFonts w:ascii="Calibri" w:hAnsi="Calibri"/>
                <w:color w:val="000000"/>
                <w:szCs w:val="24"/>
                <w:lang w:eastAsia="en-GB"/>
              </w:rPr>
            </w:pPr>
            <w:r w:rsidRPr="00682229">
              <w:rPr>
                <w:rFonts w:ascii="Calibri" w:hAnsi="Calibri"/>
                <w:color w:val="000000"/>
                <w:szCs w:val="24"/>
                <w:lang w:eastAsia="en-GB"/>
              </w:rPr>
              <w:t>12/13</w:t>
            </w:r>
          </w:p>
        </w:tc>
        <w:tc>
          <w:tcPr>
            <w:tcW w:w="2084" w:type="dxa"/>
            <w:tcBorders>
              <w:top w:val="nil"/>
              <w:left w:val="single" w:sz="4" w:space="0" w:color="auto"/>
              <w:bottom w:val="single" w:sz="4" w:space="0" w:color="auto"/>
              <w:right w:val="single" w:sz="4" w:space="0" w:color="auto"/>
            </w:tcBorders>
            <w:shd w:val="clear" w:color="000000" w:fill="EAF1DD"/>
            <w:noWrap/>
            <w:vAlign w:val="center"/>
          </w:tcPr>
          <w:p w14:paraId="28B352BC" w14:textId="77777777" w:rsidR="00D40593" w:rsidRPr="00682229" w:rsidRDefault="00D40593" w:rsidP="00D578B9">
            <w:pPr>
              <w:spacing w:after="0" w:line="240" w:lineRule="auto"/>
              <w:jc w:val="center"/>
              <w:rPr>
                <w:rFonts w:ascii="Calibri" w:hAnsi="Calibri"/>
                <w:color w:val="000000"/>
                <w:szCs w:val="24"/>
                <w:lang w:eastAsia="en-GB"/>
              </w:rPr>
            </w:pPr>
            <w:r w:rsidRPr="00682229">
              <w:rPr>
                <w:rFonts w:ascii="Calibri" w:hAnsi="Calibri"/>
                <w:color w:val="000000"/>
                <w:szCs w:val="24"/>
                <w:lang w:eastAsia="en-GB"/>
              </w:rPr>
              <w:t>13/14</w:t>
            </w:r>
          </w:p>
        </w:tc>
        <w:tc>
          <w:tcPr>
            <w:tcW w:w="1202" w:type="dxa"/>
            <w:tcBorders>
              <w:top w:val="nil"/>
              <w:left w:val="nil"/>
              <w:bottom w:val="single" w:sz="4" w:space="0" w:color="auto"/>
              <w:right w:val="single" w:sz="4" w:space="0" w:color="auto"/>
            </w:tcBorders>
            <w:shd w:val="clear" w:color="000000" w:fill="EAF1DD"/>
            <w:noWrap/>
            <w:vAlign w:val="center"/>
          </w:tcPr>
          <w:p w14:paraId="0279CB45" w14:textId="77777777" w:rsidR="00D40593" w:rsidRPr="00682229" w:rsidRDefault="00D40593" w:rsidP="00D578B9">
            <w:pPr>
              <w:spacing w:after="0" w:line="240" w:lineRule="auto"/>
              <w:jc w:val="center"/>
              <w:rPr>
                <w:rFonts w:ascii="Calibri" w:hAnsi="Calibri"/>
                <w:color w:val="000000"/>
                <w:szCs w:val="24"/>
                <w:lang w:eastAsia="en-GB"/>
              </w:rPr>
            </w:pPr>
            <w:r w:rsidRPr="00682229">
              <w:rPr>
                <w:rFonts w:ascii="Calibri" w:hAnsi="Calibri"/>
                <w:color w:val="000000"/>
                <w:szCs w:val="24"/>
                <w:lang w:eastAsia="en-GB"/>
              </w:rPr>
              <w:t> </w:t>
            </w:r>
          </w:p>
        </w:tc>
        <w:tc>
          <w:tcPr>
            <w:tcW w:w="1698" w:type="dxa"/>
            <w:vMerge/>
            <w:tcBorders>
              <w:top w:val="single" w:sz="4" w:space="0" w:color="auto"/>
              <w:left w:val="single" w:sz="4" w:space="0" w:color="auto"/>
              <w:bottom w:val="single" w:sz="4" w:space="0" w:color="auto"/>
              <w:right w:val="single" w:sz="4" w:space="0" w:color="auto"/>
            </w:tcBorders>
            <w:vAlign w:val="center"/>
          </w:tcPr>
          <w:p w14:paraId="1577C8CC" w14:textId="77777777" w:rsidR="00D40593" w:rsidRPr="00682229" w:rsidRDefault="00D40593" w:rsidP="00D578B9">
            <w:pPr>
              <w:spacing w:after="0" w:line="240" w:lineRule="auto"/>
              <w:rPr>
                <w:rFonts w:ascii="Calibri" w:hAnsi="Calibri"/>
                <w:color w:val="000000"/>
                <w:szCs w:val="24"/>
                <w:lang w:eastAsia="en-GB"/>
              </w:rPr>
            </w:pPr>
          </w:p>
        </w:tc>
      </w:tr>
      <w:tr w:rsidR="00D40593" w:rsidRPr="00682229" w14:paraId="2AB5A830" w14:textId="77777777" w:rsidTr="007771B6">
        <w:trPr>
          <w:trHeight w:val="315"/>
        </w:trPr>
        <w:tc>
          <w:tcPr>
            <w:tcW w:w="1229" w:type="dxa"/>
            <w:tcBorders>
              <w:top w:val="single" w:sz="4" w:space="0" w:color="auto"/>
              <w:left w:val="single" w:sz="4" w:space="0" w:color="auto"/>
              <w:bottom w:val="nil"/>
              <w:right w:val="single" w:sz="4" w:space="0" w:color="auto"/>
            </w:tcBorders>
            <w:noWrap/>
            <w:vAlign w:val="center"/>
          </w:tcPr>
          <w:p w14:paraId="67A25E1B" w14:textId="77777777" w:rsidR="00D40593" w:rsidRPr="00682229" w:rsidRDefault="00D40593" w:rsidP="00D578B9">
            <w:pPr>
              <w:spacing w:after="0" w:line="240" w:lineRule="auto"/>
              <w:rPr>
                <w:rFonts w:ascii="Calibri" w:hAnsi="Calibri"/>
                <w:color w:val="000000"/>
                <w:szCs w:val="24"/>
                <w:lang w:eastAsia="en-GB"/>
              </w:rPr>
            </w:pPr>
            <w:r w:rsidRPr="00682229">
              <w:rPr>
                <w:rFonts w:ascii="Calibri" w:hAnsi="Calibri"/>
                <w:color w:val="000000"/>
                <w:szCs w:val="24"/>
                <w:lang w:eastAsia="en-GB"/>
              </w:rPr>
              <w:t>Primary</w:t>
            </w:r>
          </w:p>
        </w:tc>
        <w:tc>
          <w:tcPr>
            <w:tcW w:w="1233" w:type="dxa"/>
            <w:tcBorders>
              <w:top w:val="nil"/>
              <w:left w:val="nil"/>
              <w:bottom w:val="single" w:sz="4" w:space="0" w:color="auto"/>
              <w:right w:val="single" w:sz="4" w:space="0" w:color="auto"/>
            </w:tcBorders>
            <w:noWrap/>
            <w:vAlign w:val="center"/>
          </w:tcPr>
          <w:p w14:paraId="5B011995" w14:textId="77777777" w:rsidR="00D40593" w:rsidRPr="00682229" w:rsidRDefault="00D40593" w:rsidP="00D578B9">
            <w:pPr>
              <w:spacing w:after="0" w:line="240" w:lineRule="auto"/>
              <w:jc w:val="center"/>
              <w:rPr>
                <w:rFonts w:ascii="Calibri" w:hAnsi="Calibri"/>
                <w:color w:val="000000"/>
                <w:szCs w:val="24"/>
                <w:lang w:eastAsia="en-GB"/>
              </w:rPr>
            </w:pPr>
            <w:r w:rsidRPr="00682229">
              <w:rPr>
                <w:rFonts w:ascii="Calibri" w:hAnsi="Calibri"/>
                <w:color w:val="000000"/>
                <w:szCs w:val="24"/>
                <w:lang w:eastAsia="en-GB"/>
              </w:rPr>
              <w:t>96.3%</w:t>
            </w:r>
          </w:p>
        </w:tc>
        <w:tc>
          <w:tcPr>
            <w:tcW w:w="1106" w:type="dxa"/>
            <w:tcBorders>
              <w:top w:val="nil"/>
              <w:left w:val="nil"/>
              <w:bottom w:val="single" w:sz="4" w:space="0" w:color="auto"/>
              <w:right w:val="single" w:sz="4" w:space="0" w:color="auto"/>
            </w:tcBorders>
            <w:noWrap/>
            <w:vAlign w:val="center"/>
          </w:tcPr>
          <w:p w14:paraId="543F58EC" w14:textId="77777777" w:rsidR="00D40593" w:rsidRPr="00682229" w:rsidRDefault="00D40593" w:rsidP="00D578B9">
            <w:pPr>
              <w:spacing w:after="0" w:line="240" w:lineRule="auto"/>
              <w:jc w:val="center"/>
              <w:rPr>
                <w:rFonts w:ascii="Calibri" w:hAnsi="Calibri"/>
                <w:color w:val="000000"/>
                <w:szCs w:val="24"/>
                <w:lang w:eastAsia="en-GB"/>
              </w:rPr>
            </w:pPr>
            <w:r w:rsidRPr="00682229">
              <w:rPr>
                <w:rFonts w:ascii="Calibri" w:hAnsi="Calibri"/>
                <w:color w:val="000000"/>
                <w:szCs w:val="24"/>
                <w:lang w:eastAsia="en-GB"/>
              </w:rPr>
              <w:t>96.2%</w:t>
            </w:r>
          </w:p>
        </w:tc>
        <w:tc>
          <w:tcPr>
            <w:tcW w:w="968" w:type="dxa"/>
            <w:tcBorders>
              <w:top w:val="nil"/>
              <w:left w:val="nil"/>
              <w:bottom w:val="single" w:sz="4" w:space="0" w:color="auto"/>
              <w:right w:val="single" w:sz="4" w:space="0" w:color="auto"/>
            </w:tcBorders>
          </w:tcPr>
          <w:p w14:paraId="1D432FE0" w14:textId="77777777" w:rsidR="00D40593" w:rsidRPr="00682229" w:rsidRDefault="00D40593" w:rsidP="00D578B9">
            <w:pPr>
              <w:spacing w:after="0" w:line="240" w:lineRule="auto"/>
              <w:jc w:val="center"/>
              <w:rPr>
                <w:rFonts w:ascii="Calibri" w:hAnsi="Calibri"/>
                <w:color w:val="000000"/>
                <w:szCs w:val="24"/>
                <w:lang w:eastAsia="en-GB"/>
              </w:rPr>
            </w:pPr>
            <w:r w:rsidRPr="00682229">
              <w:rPr>
                <w:rFonts w:ascii="Calibri" w:hAnsi="Calibri"/>
                <w:color w:val="000000"/>
                <w:szCs w:val="24"/>
                <w:lang w:eastAsia="en-GB"/>
              </w:rPr>
              <w:t>97.0%</w:t>
            </w:r>
          </w:p>
        </w:tc>
        <w:tc>
          <w:tcPr>
            <w:tcW w:w="2084" w:type="dxa"/>
            <w:tcBorders>
              <w:top w:val="nil"/>
              <w:left w:val="single" w:sz="4" w:space="0" w:color="auto"/>
              <w:bottom w:val="single" w:sz="4" w:space="0" w:color="auto"/>
              <w:right w:val="single" w:sz="4" w:space="0" w:color="auto"/>
            </w:tcBorders>
            <w:noWrap/>
            <w:vAlign w:val="center"/>
          </w:tcPr>
          <w:p w14:paraId="35906B8F" w14:textId="77777777" w:rsidR="00D40593" w:rsidRPr="00682229" w:rsidRDefault="00D40593" w:rsidP="00D40593">
            <w:pPr>
              <w:spacing w:after="0" w:line="240" w:lineRule="auto"/>
              <w:jc w:val="center"/>
              <w:rPr>
                <w:rFonts w:ascii="Calibri" w:hAnsi="Calibri"/>
                <w:color w:val="000000"/>
                <w:szCs w:val="24"/>
                <w:lang w:eastAsia="en-GB"/>
              </w:rPr>
            </w:pPr>
            <w:r w:rsidRPr="00682229">
              <w:rPr>
                <w:rFonts w:ascii="Calibri" w:hAnsi="Calibri"/>
                <w:color w:val="000000"/>
                <w:szCs w:val="24"/>
                <w:lang w:eastAsia="en-GB"/>
              </w:rPr>
              <w:t>97.2%</w:t>
            </w:r>
          </w:p>
        </w:tc>
        <w:tc>
          <w:tcPr>
            <w:tcW w:w="1202" w:type="dxa"/>
            <w:tcBorders>
              <w:top w:val="nil"/>
              <w:left w:val="nil"/>
              <w:bottom w:val="single" w:sz="4" w:space="0" w:color="auto"/>
              <w:right w:val="single" w:sz="4" w:space="0" w:color="auto"/>
            </w:tcBorders>
            <w:noWrap/>
            <w:vAlign w:val="center"/>
          </w:tcPr>
          <w:p w14:paraId="007B15DC" w14:textId="77777777" w:rsidR="00D40593" w:rsidRPr="00682229" w:rsidRDefault="00D40593" w:rsidP="00D578B9">
            <w:pPr>
              <w:spacing w:after="0" w:line="240" w:lineRule="auto"/>
              <w:jc w:val="center"/>
              <w:rPr>
                <w:rFonts w:ascii="Calibri" w:hAnsi="Calibri"/>
                <w:color w:val="000000"/>
                <w:szCs w:val="24"/>
                <w:lang w:eastAsia="en-GB"/>
              </w:rPr>
            </w:pPr>
            <w:r w:rsidRPr="00682229">
              <w:rPr>
                <w:rFonts w:ascii="Calibri" w:hAnsi="Calibri"/>
                <w:color w:val="000000"/>
                <w:szCs w:val="24"/>
                <w:lang w:eastAsia="en-GB"/>
              </w:rPr>
              <w:t>96.0%</w:t>
            </w:r>
          </w:p>
        </w:tc>
        <w:tc>
          <w:tcPr>
            <w:tcW w:w="1698" w:type="dxa"/>
            <w:vMerge w:val="restart"/>
            <w:tcBorders>
              <w:top w:val="single" w:sz="4" w:space="0" w:color="auto"/>
              <w:left w:val="single" w:sz="4" w:space="0" w:color="auto"/>
              <w:bottom w:val="single" w:sz="4" w:space="0" w:color="auto"/>
              <w:right w:val="single" w:sz="4" w:space="0" w:color="auto"/>
            </w:tcBorders>
            <w:noWrap/>
            <w:vAlign w:val="center"/>
          </w:tcPr>
          <w:p w14:paraId="0D024249" w14:textId="77777777" w:rsidR="00D40593" w:rsidRPr="00682229" w:rsidRDefault="00E44253" w:rsidP="00D578B9">
            <w:pPr>
              <w:spacing w:after="0" w:line="240" w:lineRule="auto"/>
              <w:jc w:val="center"/>
              <w:rPr>
                <w:rFonts w:ascii="Wingdings" w:hAnsi="Wingdings"/>
                <w:b/>
                <w:bCs/>
                <w:color w:val="FF0000"/>
                <w:sz w:val="48"/>
                <w:szCs w:val="48"/>
                <w:lang w:eastAsia="en-GB"/>
              </w:rPr>
            </w:pPr>
            <w:r w:rsidRPr="00682229">
              <w:rPr>
                <w:rFonts w:ascii="Wingdings" w:hAnsi="Wingdings"/>
                <w:b/>
                <w:bCs/>
                <w:color w:val="00B050"/>
                <w:sz w:val="48"/>
                <w:szCs w:val="48"/>
                <w:lang w:eastAsia="en-GB"/>
              </w:rPr>
              <w:t></w:t>
            </w:r>
          </w:p>
        </w:tc>
      </w:tr>
      <w:tr w:rsidR="00D40593" w:rsidRPr="00682229" w14:paraId="746F8C33" w14:textId="77777777" w:rsidTr="00D40593">
        <w:trPr>
          <w:trHeight w:val="375"/>
        </w:trPr>
        <w:tc>
          <w:tcPr>
            <w:tcW w:w="1229" w:type="dxa"/>
            <w:tcBorders>
              <w:top w:val="nil"/>
              <w:left w:val="single" w:sz="4" w:space="0" w:color="auto"/>
              <w:bottom w:val="single" w:sz="4" w:space="0" w:color="auto"/>
              <w:right w:val="single" w:sz="4" w:space="0" w:color="auto"/>
            </w:tcBorders>
            <w:noWrap/>
            <w:vAlign w:val="center"/>
          </w:tcPr>
          <w:p w14:paraId="16020B3A" w14:textId="77777777" w:rsidR="00D40593" w:rsidRPr="00682229" w:rsidRDefault="00D40593" w:rsidP="00D578B9">
            <w:pPr>
              <w:spacing w:after="0" w:line="240" w:lineRule="auto"/>
              <w:rPr>
                <w:rFonts w:ascii="Wingdings 3" w:hAnsi="Wingdings 3"/>
                <w:color w:val="000000"/>
                <w:sz w:val="28"/>
                <w:szCs w:val="28"/>
                <w:lang w:eastAsia="en-GB"/>
              </w:rPr>
            </w:pPr>
          </w:p>
        </w:tc>
        <w:tc>
          <w:tcPr>
            <w:tcW w:w="1233" w:type="dxa"/>
            <w:tcBorders>
              <w:top w:val="single" w:sz="4" w:space="0" w:color="auto"/>
              <w:left w:val="single" w:sz="4" w:space="0" w:color="auto"/>
              <w:bottom w:val="single" w:sz="4" w:space="0" w:color="auto"/>
              <w:right w:val="single" w:sz="4" w:space="0" w:color="auto"/>
            </w:tcBorders>
            <w:noWrap/>
            <w:vAlign w:val="center"/>
          </w:tcPr>
          <w:p w14:paraId="67755A5E" w14:textId="77777777" w:rsidR="00D40593" w:rsidRPr="00682229" w:rsidRDefault="00D40593" w:rsidP="00D578B9">
            <w:pPr>
              <w:spacing w:after="0" w:line="240" w:lineRule="auto"/>
              <w:jc w:val="center"/>
              <w:rPr>
                <w:rFonts w:ascii="Wingdings 3" w:hAnsi="Wingdings 3"/>
                <w:b/>
                <w:bCs/>
                <w:color w:val="00B050"/>
                <w:sz w:val="28"/>
                <w:szCs w:val="28"/>
                <w:lang w:eastAsia="en-GB"/>
              </w:rPr>
            </w:pPr>
            <w:r w:rsidRPr="00682229">
              <w:rPr>
                <w:rFonts w:ascii="Wingdings 3" w:hAnsi="Wingdings 3"/>
                <w:b/>
                <w:bCs/>
                <w:color w:val="00B050"/>
                <w:sz w:val="28"/>
                <w:szCs w:val="28"/>
                <w:lang w:eastAsia="en-GB"/>
              </w:rPr>
              <w:t></w:t>
            </w:r>
          </w:p>
        </w:tc>
        <w:tc>
          <w:tcPr>
            <w:tcW w:w="1106" w:type="dxa"/>
            <w:tcBorders>
              <w:top w:val="single" w:sz="4" w:space="0" w:color="auto"/>
              <w:left w:val="single" w:sz="4" w:space="0" w:color="auto"/>
              <w:bottom w:val="single" w:sz="4" w:space="0" w:color="auto"/>
              <w:right w:val="single" w:sz="4" w:space="0" w:color="auto"/>
            </w:tcBorders>
            <w:noWrap/>
            <w:vAlign w:val="center"/>
          </w:tcPr>
          <w:p w14:paraId="1C18A360" w14:textId="77777777" w:rsidR="00D40593" w:rsidRPr="00682229" w:rsidRDefault="00D40593" w:rsidP="00D578B9">
            <w:pPr>
              <w:spacing w:after="0" w:line="240" w:lineRule="auto"/>
              <w:jc w:val="center"/>
              <w:rPr>
                <w:rFonts w:ascii="Wingdings 3" w:hAnsi="Wingdings 3"/>
                <w:b/>
                <w:bCs/>
                <w:color w:val="FF0000"/>
                <w:sz w:val="28"/>
                <w:szCs w:val="28"/>
                <w:lang w:eastAsia="en-GB"/>
              </w:rPr>
            </w:pPr>
            <w:r w:rsidRPr="00682229">
              <w:rPr>
                <w:rFonts w:ascii="Wingdings 3" w:hAnsi="Wingdings 3"/>
                <w:b/>
                <w:bCs/>
                <w:color w:val="FF0000"/>
                <w:sz w:val="28"/>
                <w:szCs w:val="28"/>
                <w:lang w:eastAsia="en-GB"/>
              </w:rPr>
              <w:t></w:t>
            </w:r>
          </w:p>
        </w:tc>
        <w:tc>
          <w:tcPr>
            <w:tcW w:w="968" w:type="dxa"/>
            <w:tcBorders>
              <w:top w:val="single" w:sz="4" w:space="0" w:color="auto"/>
              <w:left w:val="single" w:sz="4" w:space="0" w:color="auto"/>
              <w:bottom w:val="single" w:sz="4" w:space="0" w:color="auto"/>
              <w:right w:val="single" w:sz="4" w:space="0" w:color="auto"/>
            </w:tcBorders>
          </w:tcPr>
          <w:p w14:paraId="78406626" w14:textId="77777777" w:rsidR="00D40593" w:rsidRPr="00682229" w:rsidRDefault="00D40593" w:rsidP="00D578B9">
            <w:pPr>
              <w:spacing w:after="0" w:line="240" w:lineRule="auto"/>
              <w:jc w:val="center"/>
              <w:rPr>
                <w:rFonts w:ascii="Wingdings 3" w:hAnsi="Wingdings 3"/>
                <w:b/>
                <w:bCs/>
                <w:color w:val="FF0000"/>
                <w:sz w:val="28"/>
                <w:szCs w:val="28"/>
                <w:lang w:eastAsia="en-GB"/>
              </w:rPr>
            </w:pPr>
            <w:r w:rsidRPr="00682229">
              <w:rPr>
                <w:rFonts w:ascii="Wingdings 3" w:hAnsi="Wingdings 3"/>
                <w:b/>
                <w:bCs/>
                <w:color w:val="00B050"/>
                <w:sz w:val="28"/>
                <w:szCs w:val="28"/>
                <w:lang w:eastAsia="en-GB"/>
              </w:rPr>
              <w:t></w:t>
            </w:r>
          </w:p>
        </w:tc>
        <w:tc>
          <w:tcPr>
            <w:tcW w:w="2084" w:type="dxa"/>
            <w:tcBorders>
              <w:top w:val="single" w:sz="4" w:space="0" w:color="auto"/>
              <w:left w:val="single" w:sz="4" w:space="0" w:color="auto"/>
              <w:bottom w:val="single" w:sz="4" w:space="0" w:color="auto"/>
              <w:right w:val="single" w:sz="4" w:space="0" w:color="auto"/>
            </w:tcBorders>
            <w:noWrap/>
            <w:vAlign w:val="center"/>
          </w:tcPr>
          <w:p w14:paraId="599BBC8F" w14:textId="77777777" w:rsidR="00D40593" w:rsidRPr="00682229" w:rsidRDefault="00D40593" w:rsidP="00D578B9">
            <w:pPr>
              <w:spacing w:after="0" w:line="240" w:lineRule="auto"/>
              <w:jc w:val="center"/>
              <w:rPr>
                <w:rFonts w:ascii="Wingdings 3" w:hAnsi="Wingdings 3"/>
                <w:b/>
                <w:bCs/>
                <w:color w:val="FF0000"/>
                <w:sz w:val="28"/>
                <w:szCs w:val="28"/>
                <w:lang w:eastAsia="en-GB"/>
              </w:rPr>
            </w:pPr>
            <w:r w:rsidRPr="00682229">
              <w:rPr>
                <w:rFonts w:ascii="Wingdings 3" w:hAnsi="Wingdings 3"/>
                <w:b/>
                <w:bCs/>
                <w:color w:val="00B050"/>
                <w:sz w:val="28"/>
                <w:szCs w:val="28"/>
                <w:lang w:eastAsia="en-GB"/>
              </w:rPr>
              <w:t></w:t>
            </w:r>
          </w:p>
        </w:tc>
        <w:tc>
          <w:tcPr>
            <w:tcW w:w="1202" w:type="dxa"/>
            <w:tcBorders>
              <w:top w:val="single" w:sz="4" w:space="0" w:color="auto"/>
              <w:left w:val="single" w:sz="4" w:space="0" w:color="auto"/>
              <w:bottom w:val="single" w:sz="4" w:space="0" w:color="auto"/>
              <w:right w:val="single" w:sz="4" w:space="0" w:color="auto"/>
            </w:tcBorders>
            <w:noWrap/>
            <w:vAlign w:val="center"/>
          </w:tcPr>
          <w:p w14:paraId="469DA46C" w14:textId="77777777" w:rsidR="00D40593" w:rsidRPr="00682229" w:rsidRDefault="00E44253" w:rsidP="00D578B9">
            <w:pPr>
              <w:spacing w:after="0" w:line="240" w:lineRule="auto"/>
              <w:jc w:val="center"/>
              <w:rPr>
                <w:rFonts w:ascii="Wingdings 2" w:hAnsi="Wingdings 2"/>
                <w:b/>
                <w:bCs/>
                <w:color w:val="FF0000"/>
                <w:sz w:val="28"/>
                <w:szCs w:val="28"/>
                <w:lang w:eastAsia="en-GB"/>
              </w:rPr>
            </w:pPr>
            <w:r w:rsidRPr="00682229">
              <w:rPr>
                <w:rFonts w:ascii="Wingdings 3" w:hAnsi="Wingdings 3"/>
                <w:b/>
                <w:bCs/>
                <w:color w:val="00B050"/>
                <w:sz w:val="28"/>
                <w:szCs w:val="28"/>
                <w:lang w:eastAsia="en-GB"/>
              </w:rPr>
              <w:t></w:t>
            </w:r>
          </w:p>
        </w:tc>
        <w:tc>
          <w:tcPr>
            <w:tcW w:w="1698" w:type="dxa"/>
            <w:vMerge/>
            <w:tcBorders>
              <w:top w:val="single" w:sz="4" w:space="0" w:color="auto"/>
              <w:left w:val="single" w:sz="4" w:space="0" w:color="auto"/>
              <w:bottom w:val="single" w:sz="4" w:space="0" w:color="auto"/>
              <w:right w:val="single" w:sz="4" w:space="0" w:color="auto"/>
            </w:tcBorders>
            <w:vAlign w:val="center"/>
          </w:tcPr>
          <w:p w14:paraId="28B9A159" w14:textId="77777777" w:rsidR="00D40593" w:rsidRPr="00682229" w:rsidRDefault="00D40593" w:rsidP="00D578B9">
            <w:pPr>
              <w:spacing w:after="0" w:line="240" w:lineRule="auto"/>
              <w:rPr>
                <w:rFonts w:ascii="Wingdings" w:hAnsi="Wingdings"/>
                <w:b/>
                <w:bCs/>
                <w:color w:val="FF0000"/>
                <w:sz w:val="48"/>
                <w:szCs w:val="48"/>
                <w:lang w:eastAsia="en-GB"/>
              </w:rPr>
            </w:pPr>
          </w:p>
        </w:tc>
      </w:tr>
      <w:tr w:rsidR="00D40593" w:rsidRPr="00682229" w14:paraId="3E73A390" w14:textId="77777777" w:rsidTr="007771B6">
        <w:trPr>
          <w:trHeight w:val="315"/>
        </w:trPr>
        <w:tc>
          <w:tcPr>
            <w:tcW w:w="1229" w:type="dxa"/>
            <w:tcBorders>
              <w:top w:val="nil"/>
              <w:left w:val="single" w:sz="4" w:space="0" w:color="auto"/>
              <w:bottom w:val="nil"/>
              <w:right w:val="single" w:sz="4" w:space="0" w:color="auto"/>
            </w:tcBorders>
            <w:noWrap/>
            <w:vAlign w:val="center"/>
          </w:tcPr>
          <w:p w14:paraId="76627B8E" w14:textId="77777777" w:rsidR="00D40593" w:rsidRPr="00682229" w:rsidRDefault="00D40593" w:rsidP="00D578B9">
            <w:pPr>
              <w:spacing w:after="0" w:line="240" w:lineRule="auto"/>
              <w:rPr>
                <w:rFonts w:ascii="Calibri" w:hAnsi="Calibri"/>
                <w:color w:val="000000"/>
                <w:szCs w:val="24"/>
                <w:lang w:eastAsia="en-GB"/>
              </w:rPr>
            </w:pPr>
            <w:r w:rsidRPr="00682229">
              <w:rPr>
                <w:rFonts w:ascii="Calibri" w:hAnsi="Calibri"/>
                <w:color w:val="000000"/>
                <w:szCs w:val="24"/>
                <w:lang w:eastAsia="en-GB"/>
              </w:rPr>
              <w:t>Secondary</w:t>
            </w:r>
          </w:p>
        </w:tc>
        <w:tc>
          <w:tcPr>
            <w:tcW w:w="1233" w:type="dxa"/>
            <w:tcBorders>
              <w:top w:val="nil"/>
              <w:left w:val="nil"/>
              <w:bottom w:val="single" w:sz="4" w:space="0" w:color="auto"/>
              <w:right w:val="single" w:sz="4" w:space="0" w:color="auto"/>
            </w:tcBorders>
            <w:noWrap/>
            <w:vAlign w:val="center"/>
          </w:tcPr>
          <w:p w14:paraId="3B2B00AE" w14:textId="77777777" w:rsidR="00D40593" w:rsidRPr="00682229" w:rsidRDefault="00D40593" w:rsidP="00D578B9">
            <w:pPr>
              <w:spacing w:after="0" w:line="240" w:lineRule="auto"/>
              <w:jc w:val="center"/>
              <w:rPr>
                <w:rFonts w:ascii="Calibri" w:hAnsi="Calibri"/>
                <w:color w:val="000000"/>
                <w:szCs w:val="24"/>
                <w:lang w:eastAsia="en-GB"/>
              </w:rPr>
            </w:pPr>
            <w:r w:rsidRPr="00682229">
              <w:rPr>
                <w:rFonts w:ascii="Calibri" w:hAnsi="Calibri"/>
                <w:color w:val="000000"/>
                <w:szCs w:val="24"/>
                <w:lang w:eastAsia="en-GB"/>
              </w:rPr>
              <w:t>92.5%</w:t>
            </w:r>
          </w:p>
        </w:tc>
        <w:tc>
          <w:tcPr>
            <w:tcW w:w="1106" w:type="dxa"/>
            <w:tcBorders>
              <w:top w:val="nil"/>
              <w:left w:val="nil"/>
              <w:bottom w:val="single" w:sz="4" w:space="0" w:color="auto"/>
              <w:right w:val="single" w:sz="4" w:space="0" w:color="auto"/>
            </w:tcBorders>
            <w:noWrap/>
            <w:vAlign w:val="center"/>
          </w:tcPr>
          <w:p w14:paraId="7BC5E40E" w14:textId="77777777" w:rsidR="00D40593" w:rsidRPr="00682229" w:rsidRDefault="00D40593" w:rsidP="00D578B9">
            <w:pPr>
              <w:spacing w:after="0" w:line="240" w:lineRule="auto"/>
              <w:jc w:val="center"/>
              <w:rPr>
                <w:rFonts w:ascii="Calibri" w:hAnsi="Calibri"/>
                <w:color w:val="000000"/>
                <w:szCs w:val="24"/>
                <w:lang w:eastAsia="en-GB"/>
              </w:rPr>
            </w:pPr>
            <w:r w:rsidRPr="00682229">
              <w:rPr>
                <w:rFonts w:ascii="Calibri" w:hAnsi="Calibri"/>
                <w:color w:val="000000"/>
                <w:szCs w:val="24"/>
                <w:lang w:eastAsia="en-GB"/>
              </w:rPr>
              <w:t>94.3%</w:t>
            </w:r>
          </w:p>
        </w:tc>
        <w:tc>
          <w:tcPr>
            <w:tcW w:w="968" w:type="dxa"/>
            <w:tcBorders>
              <w:top w:val="nil"/>
              <w:left w:val="nil"/>
              <w:bottom w:val="single" w:sz="4" w:space="0" w:color="auto"/>
              <w:right w:val="single" w:sz="4" w:space="0" w:color="auto"/>
            </w:tcBorders>
          </w:tcPr>
          <w:p w14:paraId="71CAECE9" w14:textId="77777777" w:rsidR="00D40593" w:rsidRPr="00682229" w:rsidRDefault="00D40593" w:rsidP="00D578B9">
            <w:pPr>
              <w:spacing w:after="0" w:line="240" w:lineRule="auto"/>
              <w:jc w:val="center"/>
              <w:rPr>
                <w:rFonts w:ascii="Calibri" w:hAnsi="Calibri"/>
                <w:color w:val="000000"/>
                <w:szCs w:val="24"/>
                <w:lang w:eastAsia="en-GB"/>
              </w:rPr>
            </w:pPr>
            <w:r w:rsidRPr="00682229">
              <w:rPr>
                <w:rFonts w:ascii="Calibri" w:hAnsi="Calibri"/>
                <w:color w:val="000000"/>
                <w:szCs w:val="24"/>
                <w:lang w:eastAsia="en-GB"/>
              </w:rPr>
              <w:t>92.0%</w:t>
            </w:r>
          </w:p>
        </w:tc>
        <w:tc>
          <w:tcPr>
            <w:tcW w:w="2084" w:type="dxa"/>
            <w:tcBorders>
              <w:top w:val="nil"/>
              <w:left w:val="single" w:sz="4" w:space="0" w:color="auto"/>
              <w:bottom w:val="single" w:sz="4" w:space="0" w:color="auto"/>
              <w:right w:val="single" w:sz="4" w:space="0" w:color="auto"/>
            </w:tcBorders>
            <w:noWrap/>
            <w:vAlign w:val="center"/>
          </w:tcPr>
          <w:p w14:paraId="10EFA25B" w14:textId="77777777" w:rsidR="00D40593" w:rsidRPr="00682229" w:rsidRDefault="00D40593" w:rsidP="00D578B9">
            <w:pPr>
              <w:spacing w:after="0" w:line="240" w:lineRule="auto"/>
              <w:jc w:val="center"/>
              <w:rPr>
                <w:rFonts w:ascii="Calibri" w:hAnsi="Calibri"/>
                <w:color w:val="000000"/>
                <w:szCs w:val="24"/>
                <w:lang w:eastAsia="en-GB"/>
              </w:rPr>
            </w:pPr>
            <w:r w:rsidRPr="00682229">
              <w:rPr>
                <w:rFonts w:ascii="Calibri" w:hAnsi="Calibri"/>
                <w:color w:val="000000"/>
                <w:szCs w:val="24"/>
                <w:lang w:eastAsia="en-GB"/>
              </w:rPr>
              <w:t>95.0%</w:t>
            </w:r>
          </w:p>
        </w:tc>
        <w:tc>
          <w:tcPr>
            <w:tcW w:w="1202" w:type="dxa"/>
            <w:tcBorders>
              <w:top w:val="nil"/>
              <w:left w:val="nil"/>
              <w:bottom w:val="single" w:sz="4" w:space="0" w:color="auto"/>
              <w:right w:val="single" w:sz="4" w:space="0" w:color="auto"/>
            </w:tcBorders>
            <w:noWrap/>
            <w:vAlign w:val="center"/>
          </w:tcPr>
          <w:p w14:paraId="54342C56" w14:textId="77777777" w:rsidR="00D40593" w:rsidRPr="00682229" w:rsidRDefault="00D40593" w:rsidP="00D578B9">
            <w:pPr>
              <w:spacing w:after="0" w:line="240" w:lineRule="auto"/>
              <w:jc w:val="center"/>
              <w:rPr>
                <w:rFonts w:ascii="Calibri" w:hAnsi="Calibri"/>
                <w:color w:val="000000"/>
                <w:szCs w:val="24"/>
                <w:lang w:eastAsia="en-GB"/>
              </w:rPr>
            </w:pPr>
            <w:r w:rsidRPr="00682229">
              <w:rPr>
                <w:rFonts w:ascii="Calibri" w:hAnsi="Calibri"/>
                <w:color w:val="000000"/>
                <w:szCs w:val="24"/>
                <w:lang w:eastAsia="en-GB"/>
              </w:rPr>
              <w:t>96.0%</w:t>
            </w:r>
          </w:p>
        </w:tc>
        <w:tc>
          <w:tcPr>
            <w:tcW w:w="1698" w:type="dxa"/>
            <w:vMerge w:val="restart"/>
            <w:tcBorders>
              <w:top w:val="single" w:sz="4" w:space="0" w:color="auto"/>
              <w:left w:val="single" w:sz="4" w:space="0" w:color="auto"/>
              <w:bottom w:val="single" w:sz="4" w:space="0" w:color="auto"/>
              <w:right w:val="single" w:sz="4" w:space="0" w:color="auto"/>
            </w:tcBorders>
            <w:noWrap/>
            <w:vAlign w:val="center"/>
          </w:tcPr>
          <w:p w14:paraId="7095D0AE" w14:textId="77777777" w:rsidR="00D40593" w:rsidRPr="00682229" w:rsidRDefault="00D40593" w:rsidP="00D578B9">
            <w:pPr>
              <w:spacing w:after="0" w:line="240" w:lineRule="auto"/>
              <w:jc w:val="center"/>
              <w:rPr>
                <w:rFonts w:ascii="Wingdings" w:hAnsi="Wingdings"/>
                <w:b/>
                <w:bCs/>
                <w:color w:val="FF0000"/>
                <w:sz w:val="48"/>
                <w:szCs w:val="48"/>
                <w:lang w:eastAsia="en-GB"/>
              </w:rPr>
            </w:pPr>
            <w:r w:rsidRPr="00682229">
              <w:rPr>
                <w:rFonts w:ascii="Wingdings" w:hAnsi="Wingdings"/>
                <w:b/>
                <w:bCs/>
                <w:color w:val="FF0000"/>
                <w:sz w:val="48"/>
                <w:szCs w:val="48"/>
                <w:lang w:eastAsia="en-GB"/>
              </w:rPr>
              <w:t></w:t>
            </w:r>
          </w:p>
        </w:tc>
      </w:tr>
      <w:tr w:rsidR="00D40593" w:rsidRPr="00682229" w14:paraId="6849729B" w14:textId="77777777" w:rsidTr="00D40593">
        <w:trPr>
          <w:trHeight w:val="375"/>
        </w:trPr>
        <w:tc>
          <w:tcPr>
            <w:tcW w:w="1229" w:type="dxa"/>
            <w:tcBorders>
              <w:top w:val="nil"/>
              <w:left w:val="single" w:sz="4" w:space="0" w:color="auto"/>
              <w:bottom w:val="single" w:sz="4" w:space="0" w:color="auto"/>
              <w:right w:val="single" w:sz="4" w:space="0" w:color="auto"/>
            </w:tcBorders>
            <w:noWrap/>
            <w:vAlign w:val="center"/>
          </w:tcPr>
          <w:p w14:paraId="7556AAFE" w14:textId="77777777" w:rsidR="00D40593" w:rsidRPr="00682229" w:rsidRDefault="00D40593" w:rsidP="00D578B9">
            <w:pPr>
              <w:spacing w:after="0" w:line="240" w:lineRule="auto"/>
              <w:rPr>
                <w:rFonts w:ascii="Wingdings 3" w:hAnsi="Wingdings 3"/>
                <w:color w:val="000000"/>
                <w:sz w:val="28"/>
                <w:szCs w:val="28"/>
                <w:lang w:eastAsia="en-GB"/>
              </w:rPr>
            </w:pPr>
          </w:p>
        </w:tc>
        <w:tc>
          <w:tcPr>
            <w:tcW w:w="1233" w:type="dxa"/>
            <w:tcBorders>
              <w:top w:val="single" w:sz="4" w:space="0" w:color="auto"/>
              <w:left w:val="single" w:sz="4" w:space="0" w:color="auto"/>
              <w:bottom w:val="single" w:sz="4" w:space="0" w:color="auto"/>
              <w:right w:val="single" w:sz="4" w:space="0" w:color="auto"/>
            </w:tcBorders>
            <w:noWrap/>
            <w:vAlign w:val="center"/>
          </w:tcPr>
          <w:p w14:paraId="18EAD0C1" w14:textId="77777777" w:rsidR="00D40593" w:rsidRPr="00682229" w:rsidRDefault="00D40593" w:rsidP="00D578B9">
            <w:pPr>
              <w:spacing w:after="0" w:line="240" w:lineRule="auto"/>
              <w:jc w:val="center"/>
              <w:rPr>
                <w:rFonts w:ascii="Wingdings 3" w:hAnsi="Wingdings 3"/>
                <w:b/>
                <w:bCs/>
                <w:color w:val="FF0000"/>
                <w:sz w:val="28"/>
                <w:szCs w:val="28"/>
                <w:lang w:eastAsia="en-GB"/>
              </w:rPr>
            </w:pPr>
            <w:r w:rsidRPr="00682229">
              <w:rPr>
                <w:rFonts w:ascii="Wingdings 3" w:hAnsi="Wingdings 3"/>
                <w:b/>
                <w:bCs/>
                <w:color w:val="FF0000"/>
                <w:sz w:val="28"/>
                <w:szCs w:val="28"/>
                <w:lang w:eastAsia="en-GB"/>
              </w:rPr>
              <w:t></w:t>
            </w:r>
          </w:p>
        </w:tc>
        <w:tc>
          <w:tcPr>
            <w:tcW w:w="1106" w:type="dxa"/>
            <w:tcBorders>
              <w:top w:val="single" w:sz="4" w:space="0" w:color="auto"/>
              <w:left w:val="single" w:sz="4" w:space="0" w:color="auto"/>
              <w:bottom w:val="single" w:sz="4" w:space="0" w:color="auto"/>
              <w:right w:val="single" w:sz="4" w:space="0" w:color="auto"/>
            </w:tcBorders>
            <w:noWrap/>
            <w:vAlign w:val="center"/>
          </w:tcPr>
          <w:p w14:paraId="035746F8" w14:textId="77777777" w:rsidR="00D40593" w:rsidRPr="00682229" w:rsidRDefault="00D40593" w:rsidP="00D578B9">
            <w:pPr>
              <w:spacing w:after="0" w:line="240" w:lineRule="auto"/>
              <w:jc w:val="center"/>
              <w:rPr>
                <w:rFonts w:ascii="Wingdings 3" w:hAnsi="Wingdings 3"/>
                <w:b/>
                <w:bCs/>
                <w:color w:val="00B050"/>
                <w:sz w:val="28"/>
                <w:szCs w:val="28"/>
                <w:lang w:eastAsia="en-GB"/>
              </w:rPr>
            </w:pPr>
            <w:r w:rsidRPr="00682229">
              <w:rPr>
                <w:rFonts w:ascii="Wingdings 3" w:hAnsi="Wingdings 3"/>
                <w:b/>
                <w:bCs/>
                <w:color w:val="00B050"/>
                <w:sz w:val="28"/>
                <w:szCs w:val="28"/>
                <w:lang w:eastAsia="en-GB"/>
              </w:rPr>
              <w:t></w:t>
            </w:r>
          </w:p>
        </w:tc>
        <w:tc>
          <w:tcPr>
            <w:tcW w:w="968" w:type="dxa"/>
            <w:tcBorders>
              <w:top w:val="single" w:sz="4" w:space="0" w:color="auto"/>
              <w:left w:val="single" w:sz="4" w:space="0" w:color="auto"/>
              <w:bottom w:val="single" w:sz="4" w:space="0" w:color="auto"/>
              <w:right w:val="single" w:sz="4" w:space="0" w:color="auto"/>
            </w:tcBorders>
          </w:tcPr>
          <w:p w14:paraId="464A5D2D" w14:textId="77777777" w:rsidR="00D40593" w:rsidRPr="00682229" w:rsidRDefault="00D40593" w:rsidP="00D578B9">
            <w:pPr>
              <w:spacing w:after="0" w:line="240" w:lineRule="auto"/>
              <w:jc w:val="center"/>
              <w:rPr>
                <w:rFonts w:ascii="Wingdings 3" w:hAnsi="Wingdings 3"/>
                <w:b/>
                <w:bCs/>
                <w:color w:val="FF0000"/>
                <w:sz w:val="28"/>
                <w:szCs w:val="28"/>
                <w:lang w:eastAsia="en-GB"/>
              </w:rPr>
            </w:pPr>
            <w:r w:rsidRPr="00682229">
              <w:rPr>
                <w:rFonts w:ascii="Wingdings 3" w:hAnsi="Wingdings 3"/>
                <w:b/>
                <w:bCs/>
                <w:color w:val="FF0000"/>
                <w:sz w:val="28"/>
                <w:szCs w:val="28"/>
                <w:lang w:eastAsia="en-GB"/>
              </w:rPr>
              <w:t></w:t>
            </w:r>
          </w:p>
        </w:tc>
        <w:tc>
          <w:tcPr>
            <w:tcW w:w="2084" w:type="dxa"/>
            <w:tcBorders>
              <w:top w:val="single" w:sz="4" w:space="0" w:color="auto"/>
              <w:left w:val="single" w:sz="4" w:space="0" w:color="auto"/>
              <w:bottom w:val="single" w:sz="4" w:space="0" w:color="auto"/>
              <w:right w:val="single" w:sz="4" w:space="0" w:color="auto"/>
            </w:tcBorders>
            <w:noWrap/>
            <w:vAlign w:val="center"/>
          </w:tcPr>
          <w:p w14:paraId="2DE57352" w14:textId="77777777" w:rsidR="00D40593" w:rsidRPr="00682229" w:rsidRDefault="00D40593" w:rsidP="00D578B9">
            <w:pPr>
              <w:spacing w:after="0" w:line="240" w:lineRule="auto"/>
              <w:jc w:val="center"/>
              <w:rPr>
                <w:rFonts w:ascii="Wingdings 3" w:hAnsi="Wingdings 3"/>
                <w:b/>
                <w:bCs/>
                <w:color w:val="FF0000"/>
                <w:sz w:val="28"/>
                <w:szCs w:val="28"/>
                <w:lang w:eastAsia="en-GB"/>
              </w:rPr>
            </w:pPr>
            <w:r w:rsidRPr="00682229">
              <w:rPr>
                <w:rFonts w:ascii="Wingdings 3" w:hAnsi="Wingdings 3"/>
                <w:b/>
                <w:bCs/>
                <w:color w:val="00B050"/>
                <w:sz w:val="28"/>
                <w:szCs w:val="28"/>
                <w:lang w:eastAsia="en-GB"/>
              </w:rPr>
              <w:t></w:t>
            </w:r>
          </w:p>
        </w:tc>
        <w:tc>
          <w:tcPr>
            <w:tcW w:w="1202" w:type="dxa"/>
            <w:tcBorders>
              <w:top w:val="single" w:sz="4" w:space="0" w:color="auto"/>
              <w:left w:val="single" w:sz="4" w:space="0" w:color="auto"/>
              <w:bottom w:val="single" w:sz="4" w:space="0" w:color="auto"/>
              <w:right w:val="single" w:sz="4" w:space="0" w:color="auto"/>
            </w:tcBorders>
            <w:noWrap/>
            <w:vAlign w:val="center"/>
          </w:tcPr>
          <w:p w14:paraId="5685E0D0" w14:textId="77777777" w:rsidR="00D40593" w:rsidRPr="00682229" w:rsidRDefault="00D40593" w:rsidP="00D578B9">
            <w:pPr>
              <w:spacing w:after="0" w:line="240" w:lineRule="auto"/>
              <w:jc w:val="center"/>
              <w:rPr>
                <w:rFonts w:ascii="Wingdings 2" w:hAnsi="Wingdings 2"/>
                <w:b/>
                <w:bCs/>
                <w:color w:val="FF0000"/>
                <w:sz w:val="28"/>
                <w:szCs w:val="28"/>
                <w:lang w:eastAsia="en-GB"/>
              </w:rPr>
            </w:pPr>
            <w:r w:rsidRPr="00682229">
              <w:rPr>
                <w:rFonts w:ascii="Wingdings 2" w:hAnsi="Wingdings 2"/>
                <w:b/>
                <w:bCs/>
                <w:color w:val="FF0000"/>
                <w:sz w:val="28"/>
                <w:szCs w:val="28"/>
                <w:lang w:eastAsia="en-GB"/>
              </w:rPr>
              <w:t></w:t>
            </w:r>
          </w:p>
        </w:tc>
        <w:tc>
          <w:tcPr>
            <w:tcW w:w="1698" w:type="dxa"/>
            <w:vMerge/>
            <w:tcBorders>
              <w:top w:val="single" w:sz="4" w:space="0" w:color="auto"/>
              <w:left w:val="single" w:sz="4" w:space="0" w:color="auto"/>
              <w:bottom w:val="single" w:sz="4" w:space="0" w:color="auto"/>
              <w:right w:val="single" w:sz="4" w:space="0" w:color="auto"/>
            </w:tcBorders>
            <w:vAlign w:val="center"/>
          </w:tcPr>
          <w:p w14:paraId="690E651A" w14:textId="77777777" w:rsidR="00D40593" w:rsidRPr="00682229" w:rsidRDefault="00D40593" w:rsidP="00D578B9">
            <w:pPr>
              <w:spacing w:after="0" w:line="240" w:lineRule="auto"/>
              <w:rPr>
                <w:rFonts w:ascii="Wingdings" w:hAnsi="Wingdings"/>
                <w:b/>
                <w:bCs/>
                <w:color w:val="FF0000"/>
                <w:sz w:val="48"/>
                <w:szCs w:val="48"/>
                <w:lang w:eastAsia="en-GB"/>
              </w:rPr>
            </w:pPr>
          </w:p>
        </w:tc>
      </w:tr>
    </w:tbl>
    <w:p w14:paraId="64BE8E2E" w14:textId="77777777" w:rsidR="00FB4407" w:rsidRPr="00682229" w:rsidRDefault="00FB4407" w:rsidP="00A876BB">
      <w:pPr>
        <w:spacing w:after="120" w:line="288" w:lineRule="auto"/>
        <w:rPr>
          <w:rStyle w:val="IntenseReference"/>
        </w:rPr>
      </w:pPr>
    </w:p>
    <w:p w14:paraId="7D616DCC" w14:textId="77777777" w:rsidR="00FB4407" w:rsidRPr="00682229" w:rsidRDefault="00FB4407" w:rsidP="00266D75">
      <w:pPr>
        <w:spacing w:after="120" w:line="288" w:lineRule="auto"/>
        <w:rPr>
          <w:rStyle w:val="SubtleReference"/>
        </w:rPr>
      </w:pPr>
      <w:r w:rsidRPr="00682229">
        <w:rPr>
          <w:rStyle w:val="SubtleReference"/>
        </w:rPr>
        <w:t>Comments:</w:t>
      </w:r>
    </w:p>
    <w:p w14:paraId="1DBE2B50" w14:textId="582CFE0F" w:rsidR="00FB4407" w:rsidRPr="00682229" w:rsidRDefault="00FB4407" w:rsidP="00266D75">
      <w:pPr>
        <w:pStyle w:val="ListParagraph"/>
        <w:numPr>
          <w:ilvl w:val="0"/>
          <w:numId w:val="22"/>
        </w:numPr>
        <w:spacing w:before="120" w:after="120" w:line="288" w:lineRule="auto"/>
        <w:jc w:val="both"/>
        <w:rPr>
          <w:sz w:val="22"/>
        </w:rPr>
      </w:pPr>
      <w:r w:rsidRPr="00682229">
        <w:rPr>
          <w:sz w:val="22"/>
        </w:rPr>
        <w:t xml:space="preserve">Young people </w:t>
      </w:r>
      <w:r w:rsidR="0004538B" w:rsidRPr="00682229">
        <w:rPr>
          <w:sz w:val="22"/>
        </w:rPr>
        <w:t>feel that the lower performance for secondary school pupils are a reflection of the increased age of these pupils and the free will exerted by those who are older leading them to miss school. The stress of placement moves and of being in care were also cited as reasons for non-attendance, particularly in those secondary school age children and young people.</w:t>
      </w:r>
    </w:p>
    <w:p w14:paraId="23906DD0" w14:textId="77777777" w:rsidR="00FB4407" w:rsidRPr="00682229" w:rsidRDefault="00FB4407" w:rsidP="00266D75">
      <w:pPr>
        <w:pStyle w:val="ListParagraph"/>
        <w:numPr>
          <w:ilvl w:val="0"/>
          <w:numId w:val="22"/>
        </w:numPr>
        <w:spacing w:before="120" w:after="120" w:line="288" w:lineRule="auto"/>
        <w:jc w:val="both"/>
        <w:rPr>
          <w:sz w:val="22"/>
        </w:rPr>
      </w:pPr>
      <w:r w:rsidRPr="00682229">
        <w:rPr>
          <w:sz w:val="22"/>
        </w:rPr>
        <w:t>Young people feel that they should be able to choose what they do at school, for example, completing exams or doing practical courses and perhaps going to college earlier than usual to start these courses.</w:t>
      </w:r>
    </w:p>
    <w:p w14:paraId="76D17E8E" w14:textId="77777777" w:rsidR="00A77AF6" w:rsidRPr="00682229" w:rsidRDefault="00A77AF6" w:rsidP="00A77AF6">
      <w:pPr>
        <w:pStyle w:val="ListParagraph"/>
        <w:numPr>
          <w:ilvl w:val="0"/>
          <w:numId w:val="22"/>
        </w:numPr>
        <w:spacing w:before="120" w:after="120" w:line="288" w:lineRule="auto"/>
        <w:jc w:val="both"/>
        <w:rPr>
          <w:sz w:val="22"/>
        </w:rPr>
      </w:pPr>
      <w:r w:rsidRPr="00682229">
        <w:rPr>
          <w:sz w:val="22"/>
        </w:rPr>
        <w:t>Young people believe CLA could be marked as absent from a lesson if they are attending a CLA meeting instead, which is not necessarily the young person's fault.</w:t>
      </w:r>
      <w:r w:rsidR="005A73E6" w:rsidRPr="00682229">
        <w:rPr>
          <w:sz w:val="22"/>
        </w:rPr>
        <w:t xml:space="preserve"> If the young </w:t>
      </w:r>
      <w:r w:rsidR="005A73E6" w:rsidRPr="00682229">
        <w:rPr>
          <w:sz w:val="22"/>
        </w:rPr>
        <w:lastRenderedPageBreak/>
        <w:t>person does not attend for the morning/afternoon, this would be classed as an absent, but potentially authorised, session.</w:t>
      </w:r>
    </w:p>
    <w:p w14:paraId="5DF0FE0D" w14:textId="77777777" w:rsidR="00A77AF6" w:rsidRPr="00682229" w:rsidRDefault="00A77AF6" w:rsidP="00A77AF6">
      <w:pPr>
        <w:pStyle w:val="ListParagraph"/>
        <w:numPr>
          <w:ilvl w:val="0"/>
          <w:numId w:val="22"/>
        </w:numPr>
        <w:spacing w:before="120" w:after="120" w:line="288" w:lineRule="auto"/>
        <w:jc w:val="both"/>
        <w:rPr>
          <w:sz w:val="22"/>
        </w:rPr>
      </w:pPr>
      <w:r w:rsidRPr="00682229">
        <w:rPr>
          <w:sz w:val="22"/>
        </w:rPr>
        <w:t>Young people feel that sometimes young people withdraw themselves from lessons if they are not able to cope and speak to their designated teacher or someone th</w:t>
      </w:r>
      <w:r w:rsidR="005A73E6" w:rsidRPr="00682229">
        <w:rPr>
          <w:sz w:val="22"/>
        </w:rPr>
        <w:t>ey feel comfortable talking to.</w:t>
      </w:r>
    </w:p>
    <w:p w14:paraId="014F2B4B" w14:textId="77777777" w:rsidR="00FB4407" w:rsidRPr="00682229" w:rsidRDefault="00FB4407" w:rsidP="00A876BB">
      <w:pPr>
        <w:spacing w:after="120" w:line="288" w:lineRule="auto"/>
        <w:rPr>
          <w:rStyle w:val="IntenseReference"/>
        </w:rPr>
      </w:pPr>
    </w:p>
    <w:p w14:paraId="553C854E" w14:textId="77777777" w:rsidR="00FB4407" w:rsidRPr="00682229" w:rsidRDefault="00FB4407" w:rsidP="00A876BB">
      <w:pPr>
        <w:spacing w:after="120" w:line="288" w:lineRule="auto"/>
        <w:rPr>
          <w:rStyle w:val="IntenseReference"/>
        </w:rPr>
      </w:pPr>
      <w:r w:rsidRPr="00682229">
        <w:rPr>
          <w:rStyle w:val="IntenseReference"/>
        </w:rPr>
        <w:t>Exclusions from School of Children Looked After</w:t>
      </w:r>
    </w:p>
    <w:p w14:paraId="0DD2EFDC" w14:textId="77777777" w:rsidR="00FB4407" w:rsidRPr="00682229" w:rsidRDefault="00FB4407" w:rsidP="002F5C47">
      <w:pPr>
        <w:spacing w:before="120" w:after="120" w:line="288" w:lineRule="auto"/>
        <w:jc w:val="both"/>
        <w:rPr>
          <w:sz w:val="22"/>
        </w:rPr>
      </w:pPr>
      <w:r w:rsidRPr="00682229">
        <w:rPr>
          <w:sz w:val="22"/>
        </w:rPr>
        <w:t>Exclusions from school are included as a pure number of children looked after either permanently excluded or on fixed term exclusion:</w:t>
      </w:r>
    </w:p>
    <w:p w14:paraId="704886C9" w14:textId="77777777" w:rsidR="00FB4407" w:rsidRPr="00682229" w:rsidRDefault="00FB4407" w:rsidP="003D7EB3">
      <w:pPr>
        <w:pStyle w:val="ListParagraph"/>
        <w:numPr>
          <w:ilvl w:val="0"/>
          <w:numId w:val="9"/>
        </w:numPr>
        <w:spacing w:before="120" w:after="120" w:line="288" w:lineRule="auto"/>
        <w:jc w:val="both"/>
        <w:rPr>
          <w:sz w:val="22"/>
        </w:rPr>
      </w:pPr>
      <w:r w:rsidRPr="00682229">
        <w:rPr>
          <w:sz w:val="22"/>
        </w:rPr>
        <w:t xml:space="preserve">In the last year there were </w:t>
      </w:r>
      <w:r w:rsidR="00E434AD" w:rsidRPr="00682229">
        <w:rPr>
          <w:b/>
          <w:sz w:val="22"/>
        </w:rPr>
        <w:t>5</w:t>
      </w:r>
      <w:r w:rsidR="00E434AD" w:rsidRPr="00682229">
        <w:rPr>
          <w:sz w:val="22"/>
        </w:rPr>
        <w:t xml:space="preserve"> </w:t>
      </w:r>
      <w:r w:rsidRPr="00682229">
        <w:rPr>
          <w:sz w:val="22"/>
        </w:rPr>
        <w:t>permanent exclusions of children looked after</w:t>
      </w:r>
      <w:r w:rsidR="00882CE5" w:rsidRPr="00682229">
        <w:rPr>
          <w:sz w:val="22"/>
        </w:rPr>
        <w:t>, an increase</w:t>
      </w:r>
      <w:r w:rsidR="00E434AD" w:rsidRPr="00682229">
        <w:rPr>
          <w:sz w:val="22"/>
        </w:rPr>
        <w:t xml:space="preserve"> from 0 the previous year.</w:t>
      </w:r>
    </w:p>
    <w:p w14:paraId="2967D23E" w14:textId="77777777" w:rsidR="00FB4407" w:rsidRPr="00682229" w:rsidRDefault="00FB4407" w:rsidP="003D7EB3">
      <w:pPr>
        <w:pStyle w:val="ListParagraph"/>
        <w:numPr>
          <w:ilvl w:val="0"/>
          <w:numId w:val="9"/>
        </w:numPr>
        <w:spacing w:before="120" w:after="120" w:line="288" w:lineRule="auto"/>
        <w:jc w:val="both"/>
        <w:rPr>
          <w:sz w:val="22"/>
        </w:rPr>
      </w:pPr>
      <w:r w:rsidRPr="00682229">
        <w:rPr>
          <w:sz w:val="22"/>
        </w:rPr>
        <w:t xml:space="preserve">In the last </w:t>
      </w:r>
      <w:r w:rsidR="00E434AD" w:rsidRPr="00682229">
        <w:rPr>
          <w:sz w:val="22"/>
        </w:rPr>
        <w:t xml:space="preserve">year there were </w:t>
      </w:r>
      <w:r w:rsidR="00E434AD" w:rsidRPr="00682229">
        <w:rPr>
          <w:b/>
          <w:sz w:val="22"/>
        </w:rPr>
        <w:t>52</w:t>
      </w:r>
      <w:r w:rsidRPr="00682229">
        <w:rPr>
          <w:sz w:val="22"/>
        </w:rPr>
        <w:t xml:space="preserve"> fixed term exclusions of children looked after</w:t>
      </w:r>
      <w:r w:rsidR="00E434AD" w:rsidRPr="00682229">
        <w:rPr>
          <w:sz w:val="22"/>
        </w:rPr>
        <w:t>,</w:t>
      </w:r>
      <w:r w:rsidR="008F0925" w:rsidRPr="00682229">
        <w:rPr>
          <w:sz w:val="22"/>
        </w:rPr>
        <w:t xml:space="preserve"> down from </w:t>
      </w:r>
      <w:r w:rsidR="008F0925" w:rsidRPr="00682229">
        <w:rPr>
          <w:b/>
          <w:sz w:val="22"/>
        </w:rPr>
        <w:t>68</w:t>
      </w:r>
      <w:r w:rsidR="008F0925" w:rsidRPr="00682229">
        <w:rPr>
          <w:sz w:val="22"/>
        </w:rPr>
        <w:t xml:space="preserve"> the previous year – both lower than the target of </w:t>
      </w:r>
      <w:r w:rsidR="008F0925" w:rsidRPr="00682229">
        <w:rPr>
          <w:b/>
          <w:sz w:val="22"/>
        </w:rPr>
        <w:t>70</w:t>
      </w:r>
      <w:r w:rsidR="008F0925" w:rsidRPr="00682229">
        <w:rPr>
          <w:sz w:val="22"/>
        </w:rPr>
        <w:t>, which is good!</w:t>
      </w:r>
    </w:p>
    <w:p w14:paraId="0EF96CDE" w14:textId="77777777" w:rsidR="00FB4407" w:rsidRPr="00682229" w:rsidRDefault="00FB4407" w:rsidP="003D7EB3">
      <w:pPr>
        <w:pStyle w:val="ListParagraph"/>
        <w:numPr>
          <w:ilvl w:val="0"/>
          <w:numId w:val="9"/>
        </w:numPr>
        <w:spacing w:before="120" w:after="120" w:line="288" w:lineRule="auto"/>
        <w:jc w:val="both"/>
        <w:rPr>
          <w:sz w:val="22"/>
        </w:rPr>
      </w:pPr>
      <w:r w:rsidRPr="00682229">
        <w:rPr>
          <w:sz w:val="22"/>
        </w:rPr>
        <w:t>The</w:t>
      </w:r>
      <w:r w:rsidR="00E434AD" w:rsidRPr="00682229">
        <w:rPr>
          <w:sz w:val="22"/>
        </w:rPr>
        <w:t xml:space="preserve"> number</w:t>
      </w:r>
      <w:r w:rsidRPr="00682229">
        <w:rPr>
          <w:sz w:val="22"/>
        </w:rPr>
        <w:t xml:space="preserve"> </w:t>
      </w:r>
      <w:r w:rsidR="00E434AD" w:rsidRPr="00682229">
        <w:rPr>
          <w:sz w:val="22"/>
        </w:rPr>
        <w:t>of fixed term exclusions has fallen again and is well</w:t>
      </w:r>
      <w:r w:rsidRPr="00682229">
        <w:rPr>
          <w:sz w:val="22"/>
        </w:rPr>
        <w:t xml:space="preserve"> within the targets s</w:t>
      </w:r>
      <w:r w:rsidR="00E434AD" w:rsidRPr="00682229">
        <w:rPr>
          <w:sz w:val="22"/>
        </w:rPr>
        <w:t>et by the Corporate Parenting Board. However, there were a number of permanent exclusions within the last year which means, unlike last year, the target of zero permanent exclusions has not been met.</w:t>
      </w:r>
    </w:p>
    <w:p w14:paraId="11D23A0C" w14:textId="77777777" w:rsidR="00FB4407" w:rsidRPr="00682229" w:rsidRDefault="007F6C90" w:rsidP="00102ECE">
      <w:pPr>
        <w:spacing w:before="120" w:after="120" w:line="288" w:lineRule="auto"/>
        <w:jc w:val="center"/>
        <w:rPr>
          <w:sz w:val="22"/>
        </w:rPr>
      </w:pPr>
      <w:r w:rsidRPr="00682229">
        <w:rPr>
          <w:noProof/>
          <w:lang w:eastAsia="en-GB"/>
        </w:rPr>
        <w:drawing>
          <wp:inline distT="0" distB="0" distL="0" distR="0" wp14:anchorId="34815F30" wp14:editId="622D75B3">
            <wp:extent cx="4599214" cy="2780960"/>
            <wp:effectExtent l="0" t="0" r="11430" b="63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9099714" w14:textId="77777777" w:rsidR="00FB4407" w:rsidRPr="00682229" w:rsidRDefault="00FB4407" w:rsidP="009F47A8">
      <w:pPr>
        <w:spacing w:after="120" w:line="288" w:lineRule="auto"/>
        <w:rPr>
          <w:rStyle w:val="SubtleReference"/>
        </w:rPr>
      </w:pPr>
      <w:r w:rsidRPr="00682229">
        <w:rPr>
          <w:rStyle w:val="SubtleReference"/>
        </w:rPr>
        <w:t>Comments:</w:t>
      </w:r>
    </w:p>
    <w:p w14:paraId="0FF5C75D" w14:textId="77777777" w:rsidR="00FB4407" w:rsidRPr="00682229" w:rsidRDefault="00FB4407" w:rsidP="00E24C06">
      <w:pPr>
        <w:pStyle w:val="ListParagraph"/>
        <w:numPr>
          <w:ilvl w:val="0"/>
          <w:numId w:val="22"/>
        </w:numPr>
        <w:spacing w:before="120" w:after="120" w:line="288" w:lineRule="auto"/>
        <w:jc w:val="both"/>
        <w:rPr>
          <w:sz w:val="22"/>
        </w:rPr>
      </w:pPr>
      <w:r w:rsidRPr="00682229">
        <w:rPr>
          <w:sz w:val="22"/>
        </w:rPr>
        <w:t>Young people would like there to be more research into the reasons for fixed term exclusions. Are schools aware of other factors in the young persons' lives that may be affecting their behaviour at school? If so, are schools offering the right support for those young people?</w:t>
      </w:r>
    </w:p>
    <w:p w14:paraId="62EE003E" w14:textId="77777777" w:rsidR="001614FD" w:rsidRPr="00682229" w:rsidRDefault="001614FD" w:rsidP="00E24C06">
      <w:pPr>
        <w:pStyle w:val="ListParagraph"/>
        <w:numPr>
          <w:ilvl w:val="0"/>
          <w:numId w:val="22"/>
        </w:numPr>
        <w:spacing w:before="120" w:after="120" w:line="288" w:lineRule="auto"/>
        <w:jc w:val="both"/>
        <w:rPr>
          <w:sz w:val="22"/>
        </w:rPr>
      </w:pPr>
      <w:r w:rsidRPr="00682229">
        <w:rPr>
          <w:sz w:val="22"/>
        </w:rPr>
        <w:t>Young people would like to know why the target of 0 permanent exclusions has not yet been met.</w:t>
      </w:r>
      <w:r w:rsidR="00CB21FA" w:rsidRPr="00682229">
        <w:rPr>
          <w:sz w:val="22"/>
        </w:rPr>
        <w:t xml:space="preserve"> The target of 0 was met as recently as 2012/13 however 5 looked after children were permanently excluded in 2013/14.</w:t>
      </w:r>
    </w:p>
    <w:p w14:paraId="511B661B" w14:textId="34706EC4" w:rsidR="0004538B" w:rsidRPr="00682229" w:rsidRDefault="0004538B" w:rsidP="00E24C06">
      <w:pPr>
        <w:pStyle w:val="ListParagraph"/>
        <w:numPr>
          <w:ilvl w:val="0"/>
          <w:numId w:val="22"/>
        </w:numPr>
        <w:spacing w:before="120" w:after="120" w:line="288" w:lineRule="auto"/>
        <w:jc w:val="both"/>
        <w:rPr>
          <w:sz w:val="22"/>
        </w:rPr>
      </w:pPr>
      <w:r w:rsidRPr="00682229">
        <w:rPr>
          <w:sz w:val="22"/>
        </w:rPr>
        <w:t>LINX would like to know the reasons for the 5 permanent exclusions in 2013/14.</w:t>
      </w:r>
    </w:p>
    <w:p w14:paraId="58562CF1" w14:textId="77777777" w:rsidR="0004538B" w:rsidRPr="00335C79" w:rsidRDefault="0004538B" w:rsidP="00424885">
      <w:pPr>
        <w:pStyle w:val="ListParagraph"/>
        <w:spacing w:before="120" w:after="120" w:line="288" w:lineRule="auto"/>
        <w:jc w:val="both"/>
        <w:rPr>
          <w:sz w:val="22"/>
          <w:highlight w:val="yellow"/>
        </w:rPr>
      </w:pPr>
    </w:p>
    <w:p w14:paraId="5F8C32F9" w14:textId="77777777" w:rsidR="00FB4407" w:rsidRPr="00335C79" w:rsidRDefault="00FB4407" w:rsidP="000D2560">
      <w:pPr>
        <w:spacing w:before="120" w:after="120" w:line="288" w:lineRule="auto"/>
        <w:jc w:val="both"/>
        <w:rPr>
          <w:sz w:val="22"/>
          <w:highlight w:val="yellow"/>
        </w:rPr>
      </w:pPr>
    </w:p>
    <w:p w14:paraId="208C5C3E" w14:textId="77777777" w:rsidR="00FB4407" w:rsidRPr="00326F2C" w:rsidRDefault="00FB4407" w:rsidP="00A876BB">
      <w:pPr>
        <w:spacing w:after="120" w:line="288" w:lineRule="auto"/>
        <w:rPr>
          <w:rStyle w:val="IntenseReference"/>
        </w:rPr>
      </w:pPr>
      <w:r w:rsidRPr="00326F2C">
        <w:rPr>
          <w:rStyle w:val="IntenseReference"/>
        </w:rPr>
        <w:lastRenderedPageBreak/>
        <w:t>Children Looked After in Young Offender Institutions or Secure Units</w:t>
      </w:r>
    </w:p>
    <w:p w14:paraId="43BB6B93" w14:textId="5868725E" w:rsidR="00FB4407" w:rsidRPr="00326F2C" w:rsidRDefault="00FB4407" w:rsidP="00F327C5">
      <w:pPr>
        <w:pStyle w:val="ListParagraph"/>
        <w:numPr>
          <w:ilvl w:val="0"/>
          <w:numId w:val="10"/>
        </w:numPr>
        <w:spacing w:before="120" w:after="120" w:line="288" w:lineRule="auto"/>
        <w:ind w:left="357" w:hanging="357"/>
        <w:rPr>
          <w:sz w:val="22"/>
        </w:rPr>
      </w:pPr>
      <w:r w:rsidRPr="00326F2C">
        <w:rPr>
          <w:sz w:val="22"/>
        </w:rPr>
        <w:t>There are a small number of children looked after placed in young offender</w:t>
      </w:r>
      <w:r w:rsidR="006D65F5" w:rsidRPr="00326F2C">
        <w:rPr>
          <w:sz w:val="22"/>
        </w:rPr>
        <w:t xml:space="preserve"> institutions or secure units, </w:t>
      </w:r>
      <w:r w:rsidR="00326F2C" w:rsidRPr="00326F2C">
        <w:rPr>
          <w:b/>
          <w:sz w:val="22"/>
        </w:rPr>
        <w:t>7</w:t>
      </w:r>
      <w:r w:rsidRPr="00326F2C">
        <w:rPr>
          <w:sz w:val="22"/>
        </w:rPr>
        <w:t xml:space="preserve"> as at </w:t>
      </w:r>
      <w:r w:rsidR="004F66D4" w:rsidRPr="00326F2C">
        <w:rPr>
          <w:sz w:val="22"/>
        </w:rPr>
        <w:t>30th</w:t>
      </w:r>
      <w:r w:rsidR="00326F2C" w:rsidRPr="00326F2C">
        <w:rPr>
          <w:sz w:val="22"/>
        </w:rPr>
        <w:t xml:space="preserve"> June</w:t>
      </w:r>
      <w:r w:rsidR="00CB21FA" w:rsidRPr="00326F2C">
        <w:rPr>
          <w:sz w:val="22"/>
        </w:rPr>
        <w:t xml:space="preserve"> 2015</w:t>
      </w:r>
      <w:r w:rsidR="00047BA3" w:rsidRPr="00326F2C">
        <w:rPr>
          <w:sz w:val="22"/>
        </w:rPr>
        <w:t>.</w:t>
      </w:r>
    </w:p>
    <w:p w14:paraId="081AB0F6" w14:textId="79A55188" w:rsidR="00FB4407" w:rsidRPr="00326F2C" w:rsidRDefault="006E38AE" w:rsidP="003D7EB3">
      <w:pPr>
        <w:pStyle w:val="ListParagraph"/>
        <w:numPr>
          <w:ilvl w:val="0"/>
          <w:numId w:val="10"/>
        </w:numPr>
        <w:spacing w:before="240" w:after="120" w:line="288" w:lineRule="auto"/>
        <w:rPr>
          <w:sz w:val="22"/>
        </w:rPr>
      </w:pPr>
      <w:r>
        <w:rPr>
          <w:sz w:val="22"/>
        </w:rPr>
        <w:t>In Q4 14/15, j</w:t>
      </w:r>
      <w:r w:rsidR="00E47528" w:rsidRPr="00326F2C">
        <w:rPr>
          <w:sz w:val="22"/>
        </w:rPr>
        <w:t xml:space="preserve">ust </w:t>
      </w:r>
      <w:r w:rsidR="004F66D4" w:rsidRPr="00326F2C">
        <w:rPr>
          <w:sz w:val="22"/>
        </w:rPr>
        <w:t>under 3</w:t>
      </w:r>
      <w:r w:rsidR="00FB4407" w:rsidRPr="00326F2C">
        <w:rPr>
          <w:sz w:val="22"/>
        </w:rPr>
        <w:t xml:space="preserve"> out of </w:t>
      </w:r>
      <w:r w:rsidR="00FB4407" w:rsidRPr="00326F2C">
        <w:rPr>
          <w:b/>
          <w:sz w:val="22"/>
        </w:rPr>
        <w:t>100</w:t>
      </w:r>
      <w:r>
        <w:rPr>
          <w:sz w:val="22"/>
        </w:rPr>
        <w:t xml:space="preserve"> children looked after were</w:t>
      </w:r>
      <w:r w:rsidR="00FB4407" w:rsidRPr="00326F2C">
        <w:rPr>
          <w:sz w:val="22"/>
        </w:rPr>
        <w:t xml:space="preserve"> involved with the youth of</w:t>
      </w:r>
      <w:r>
        <w:rPr>
          <w:sz w:val="22"/>
        </w:rPr>
        <w:t>fending teams, whilst</w:t>
      </w:r>
      <w:r w:rsidR="00722207" w:rsidRPr="00326F2C">
        <w:rPr>
          <w:sz w:val="22"/>
        </w:rPr>
        <w:t xml:space="preserve"> </w:t>
      </w:r>
      <w:r>
        <w:rPr>
          <w:sz w:val="22"/>
        </w:rPr>
        <w:t>just under</w:t>
      </w:r>
      <w:r w:rsidR="004F66D4" w:rsidRPr="00326F2C">
        <w:rPr>
          <w:sz w:val="22"/>
        </w:rPr>
        <w:t xml:space="preserve"> </w:t>
      </w:r>
      <w:r w:rsidR="0019300D" w:rsidRPr="00326F2C">
        <w:rPr>
          <w:b/>
          <w:sz w:val="22"/>
        </w:rPr>
        <w:t>1</w:t>
      </w:r>
      <w:r w:rsidR="00FB4407" w:rsidRPr="00326F2C">
        <w:rPr>
          <w:sz w:val="22"/>
        </w:rPr>
        <w:t xml:space="preserve"> out of </w:t>
      </w:r>
      <w:r w:rsidR="00FB4407" w:rsidRPr="00326F2C">
        <w:rPr>
          <w:b/>
          <w:sz w:val="22"/>
        </w:rPr>
        <w:t>100</w:t>
      </w:r>
      <w:r w:rsidR="0019300D" w:rsidRPr="00326F2C">
        <w:rPr>
          <w:b/>
          <w:sz w:val="22"/>
        </w:rPr>
        <w:t>0</w:t>
      </w:r>
      <w:r>
        <w:rPr>
          <w:sz w:val="22"/>
        </w:rPr>
        <w:t xml:space="preserve"> children and young people were</w:t>
      </w:r>
      <w:r w:rsidR="00FB4407" w:rsidRPr="00326F2C">
        <w:rPr>
          <w:sz w:val="22"/>
        </w:rPr>
        <w:t xml:space="preserve"> involved with youth offending teams.</w:t>
      </w:r>
    </w:p>
    <w:p w14:paraId="03037695" w14:textId="394EB504" w:rsidR="00FB4407" w:rsidRPr="009E0E79" w:rsidRDefault="004F66D4" w:rsidP="003D7EB3">
      <w:pPr>
        <w:pStyle w:val="ListParagraph"/>
        <w:numPr>
          <w:ilvl w:val="0"/>
          <w:numId w:val="10"/>
        </w:numPr>
        <w:spacing w:before="240" w:after="120" w:line="288" w:lineRule="auto"/>
        <w:rPr>
          <w:sz w:val="22"/>
        </w:rPr>
      </w:pPr>
      <w:r w:rsidRPr="009E0E79">
        <w:rPr>
          <w:sz w:val="22"/>
        </w:rPr>
        <w:t>Based on these figures, c</w:t>
      </w:r>
      <w:r w:rsidR="00722207" w:rsidRPr="009E0E79">
        <w:rPr>
          <w:sz w:val="22"/>
        </w:rPr>
        <w:t>hildren looked after are</w:t>
      </w:r>
      <w:r w:rsidRPr="009E0E79">
        <w:rPr>
          <w:sz w:val="22"/>
        </w:rPr>
        <w:t xml:space="preserve"> twenty</w:t>
      </w:r>
      <w:r w:rsidR="00011B23" w:rsidRPr="009E0E79">
        <w:rPr>
          <w:sz w:val="22"/>
        </w:rPr>
        <w:t xml:space="preserve"> one</w:t>
      </w:r>
      <w:r w:rsidR="00D42C73" w:rsidRPr="009E0E79">
        <w:rPr>
          <w:sz w:val="22"/>
        </w:rPr>
        <w:t xml:space="preserve"> times more</w:t>
      </w:r>
      <w:r w:rsidR="00FB4407" w:rsidRPr="009E0E79">
        <w:rPr>
          <w:sz w:val="22"/>
        </w:rPr>
        <w:t xml:space="preserve"> likely to be involved with youth offending teams</w:t>
      </w:r>
      <w:r w:rsidRPr="009E0E79">
        <w:rPr>
          <w:sz w:val="22"/>
        </w:rPr>
        <w:t xml:space="preserve"> then those not looked after.</w:t>
      </w:r>
    </w:p>
    <w:p w14:paraId="1F2D8374" w14:textId="77777777" w:rsidR="00FB4407" w:rsidRPr="009E0E79" w:rsidRDefault="00FB4407" w:rsidP="00385DFB">
      <w:pPr>
        <w:pStyle w:val="ListParagraph"/>
        <w:spacing w:before="240" w:after="120" w:line="288" w:lineRule="auto"/>
        <w:ind w:left="0"/>
        <w:rPr>
          <w:sz w:val="22"/>
        </w:rPr>
      </w:pPr>
    </w:p>
    <w:p w14:paraId="3018AB0B" w14:textId="77777777" w:rsidR="00FB4407" w:rsidRPr="009E0E79" w:rsidRDefault="00FB4407" w:rsidP="00A876BB">
      <w:pPr>
        <w:spacing w:after="120" w:line="288" w:lineRule="auto"/>
        <w:rPr>
          <w:rStyle w:val="IntenseReference"/>
        </w:rPr>
      </w:pPr>
      <w:r w:rsidRPr="009E0E79">
        <w:rPr>
          <w:rStyle w:val="IntenseReference"/>
        </w:rPr>
        <w:t>Children Looked After with an up-to-date Health and Dental Assessments</w:t>
      </w:r>
    </w:p>
    <w:p w14:paraId="3D669DC9" w14:textId="104D331B" w:rsidR="00FB4407" w:rsidRPr="009E0E79" w:rsidRDefault="006E38AE" w:rsidP="00935ACB">
      <w:pPr>
        <w:pStyle w:val="ListParagraph"/>
        <w:numPr>
          <w:ilvl w:val="0"/>
          <w:numId w:val="32"/>
        </w:numPr>
        <w:spacing w:before="120" w:after="120" w:line="288" w:lineRule="auto"/>
        <w:ind w:left="426" w:hanging="426"/>
        <w:rPr>
          <w:sz w:val="22"/>
        </w:rPr>
      </w:pPr>
      <w:r w:rsidRPr="009E0E79">
        <w:rPr>
          <w:b/>
          <w:sz w:val="22"/>
        </w:rPr>
        <w:t>92</w:t>
      </w:r>
      <w:r w:rsidR="00FB4407" w:rsidRPr="009E0E79">
        <w:rPr>
          <w:sz w:val="22"/>
        </w:rPr>
        <w:t xml:space="preserve"> out of 100 children looked after have an up-to-date health assessment (</w:t>
      </w:r>
      <w:r w:rsidRPr="009E0E79">
        <w:rPr>
          <w:sz w:val="22"/>
        </w:rPr>
        <w:t>June</w:t>
      </w:r>
      <w:r w:rsidR="00935ACB" w:rsidRPr="009E0E79">
        <w:rPr>
          <w:sz w:val="22"/>
        </w:rPr>
        <w:t xml:space="preserve"> </w:t>
      </w:r>
      <w:r w:rsidR="00FB4407" w:rsidRPr="009E0E79">
        <w:rPr>
          <w:sz w:val="22"/>
        </w:rPr>
        <w:t>201</w:t>
      </w:r>
      <w:r w:rsidR="00774F4F" w:rsidRPr="009E0E79">
        <w:rPr>
          <w:sz w:val="22"/>
        </w:rPr>
        <w:t>5</w:t>
      </w:r>
      <w:r w:rsidR="00FB4407" w:rsidRPr="009E0E79">
        <w:rPr>
          <w:sz w:val="22"/>
        </w:rPr>
        <w:t>)</w:t>
      </w:r>
    </w:p>
    <w:p w14:paraId="24C00B3A" w14:textId="2BF179E2" w:rsidR="00FB4407" w:rsidRPr="009E0E79" w:rsidRDefault="00FB4407" w:rsidP="00935ACB">
      <w:pPr>
        <w:pStyle w:val="ListParagraph"/>
        <w:numPr>
          <w:ilvl w:val="0"/>
          <w:numId w:val="32"/>
        </w:numPr>
        <w:spacing w:before="120" w:after="120" w:line="288" w:lineRule="auto"/>
        <w:ind w:left="426" w:hanging="426"/>
        <w:rPr>
          <w:sz w:val="22"/>
        </w:rPr>
      </w:pPr>
      <w:r w:rsidRPr="009E0E79">
        <w:rPr>
          <w:sz w:val="22"/>
        </w:rPr>
        <w:t xml:space="preserve">This is </w:t>
      </w:r>
      <w:r w:rsidR="006E38AE" w:rsidRPr="009E0E79">
        <w:rPr>
          <w:sz w:val="22"/>
        </w:rPr>
        <w:t>a higher</w:t>
      </w:r>
      <w:r w:rsidRPr="009E0E79">
        <w:rPr>
          <w:sz w:val="22"/>
        </w:rPr>
        <w:t xml:space="preserve"> level of up-to-date health assessments than in the previous year</w:t>
      </w:r>
      <w:r w:rsidR="00007900" w:rsidRPr="009E0E79">
        <w:rPr>
          <w:sz w:val="22"/>
        </w:rPr>
        <w:t xml:space="preserve"> (2014/15 -  87)</w:t>
      </w:r>
    </w:p>
    <w:p w14:paraId="767B766D" w14:textId="27B85DDF" w:rsidR="00FB4407" w:rsidRPr="009E0E79" w:rsidRDefault="00D12EED" w:rsidP="00935ACB">
      <w:pPr>
        <w:pStyle w:val="ListParagraph"/>
        <w:numPr>
          <w:ilvl w:val="0"/>
          <w:numId w:val="32"/>
        </w:numPr>
        <w:spacing w:before="120" w:after="120" w:line="288" w:lineRule="auto"/>
        <w:ind w:left="426" w:hanging="426"/>
        <w:rPr>
          <w:sz w:val="22"/>
        </w:rPr>
      </w:pPr>
      <w:r w:rsidRPr="009E0E79">
        <w:rPr>
          <w:b/>
          <w:sz w:val="22"/>
        </w:rPr>
        <w:t>7</w:t>
      </w:r>
      <w:r w:rsidR="006E38AE" w:rsidRPr="009E0E79">
        <w:rPr>
          <w:b/>
          <w:sz w:val="22"/>
        </w:rPr>
        <w:t>5</w:t>
      </w:r>
      <w:r w:rsidR="00FB4407" w:rsidRPr="009E0E79">
        <w:rPr>
          <w:sz w:val="22"/>
        </w:rPr>
        <w:t xml:space="preserve"> out of 100 children looked after have an up-to-date dental assessment (</w:t>
      </w:r>
      <w:r w:rsidR="006E38AE" w:rsidRPr="009E0E79">
        <w:rPr>
          <w:sz w:val="22"/>
        </w:rPr>
        <w:t>June</w:t>
      </w:r>
      <w:r w:rsidRPr="009E0E79">
        <w:rPr>
          <w:sz w:val="22"/>
        </w:rPr>
        <w:t xml:space="preserve"> </w:t>
      </w:r>
      <w:r w:rsidR="00774F4F" w:rsidRPr="009E0E79">
        <w:rPr>
          <w:sz w:val="22"/>
        </w:rPr>
        <w:t>2015</w:t>
      </w:r>
      <w:r w:rsidR="00FB4407" w:rsidRPr="009E0E79">
        <w:rPr>
          <w:sz w:val="22"/>
        </w:rPr>
        <w:t>)</w:t>
      </w:r>
    </w:p>
    <w:p w14:paraId="386D63BE" w14:textId="57A127B2" w:rsidR="00007900" w:rsidRPr="009E0E79" w:rsidRDefault="00FB4407" w:rsidP="00007900">
      <w:pPr>
        <w:pStyle w:val="ListParagraph"/>
        <w:numPr>
          <w:ilvl w:val="0"/>
          <w:numId w:val="32"/>
        </w:numPr>
        <w:spacing w:before="120" w:after="120" w:line="288" w:lineRule="auto"/>
        <w:ind w:left="426" w:hanging="426"/>
        <w:rPr>
          <w:sz w:val="22"/>
        </w:rPr>
      </w:pPr>
      <w:r w:rsidRPr="009E0E79">
        <w:rPr>
          <w:sz w:val="22"/>
        </w:rPr>
        <w:t xml:space="preserve">This </w:t>
      </w:r>
      <w:r w:rsidR="009E0E79" w:rsidRPr="009E0E79">
        <w:rPr>
          <w:sz w:val="22"/>
        </w:rPr>
        <w:t xml:space="preserve">has increased recently after reaching a year-low in April 2015 of </w:t>
      </w:r>
      <w:r w:rsidR="009E0E79" w:rsidRPr="009E0E79">
        <w:rPr>
          <w:b/>
          <w:sz w:val="22"/>
        </w:rPr>
        <w:t>73</w:t>
      </w:r>
      <w:r w:rsidR="009E0E79" w:rsidRPr="009E0E79">
        <w:rPr>
          <w:sz w:val="22"/>
        </w:rPr>
        <w:t xml:space="preserve"> out of 100.</w:t>
      </w:r>
    </w:p>
    <w:p w14:paraId="03F84E66" w14:textId="77777777" w:rsidR="00FB4407" w:rsidRPr="009E0E79" w:rsidRDefault="00FB4407" w:rsidP="009F47A8">
      <w:pPr>
        <w:spacing w:after="120" w:line="288" w:lineRule="auto"/>
        <w:rPr>
          <w:rStyle w:val="SubtleReference"/>
        </w:rPr>
      </w:pPr>
      <w:r w:rsidRPr="009E0E79">
        <w:rPr>
          <w:rStyle w:val="SubtleReference"/>
        </w:rPr>
        <w:t>Comments:</w:t>
      </w:r>
    </w:p>
    <w:p w14:paraId="67E4403F" w14:textId="77777777" w:rsidR="00FB4407" w:rsidRPr="009E0E79" w:rsidRDefault="0011131C" w:rsidP="008A67BD">
      <w:pPr>
        <w:pStyle w:val="ListParagraph"/>
        <w:numPr>
          <w:ilvl w:val="0"/>
          <w:numId w:val="27"/>
        </w:numPr>
        <w:spacing w:before="120" w:after="120" w:line="288" w:lineRule="auto"/>
        <w:jc w:val="both"/>
        <w:rPr>
          <w:noProof/>
          <w:sz w:val="22"/>
          <w:lang w:eastAsia="en-GB"/>
        </w:rPr>
      </w:pPr>
      <w:r w:rsidRPr="009E0E79">
        <w:rPr>
          <w:noProof/>
          <w:lang w:eastAsia="en-GB"/>
        </w:rPr>
        <w:drawing>
          <wp:anchor distT="0" distB="0" distL="114300" distR="114300" simplePos="0" relativeHeight="251660288" behindDoc="1" locked="0" layoutInCell="1" allowOverlap="1" wp14:anchorId="050935E3" wp14:editId="4B1BDF36">
            <wp:simplePos x="0" y="0"/>
            <wp:positionH relativeFrom="column">
              <wp:posOffset>4084320</wp:posOffset>
            </wp:positionH>
            <wp:positionV relativeFrom="paragraph">
              <wp:posOffset>81280</wp:posOffset>
            </wp:positionV>
            <wp:extent cx="1743075" cy="723900"/>
            <wp:effectExtent l="0" t="0" r="9525" b="0"/>
            <wp:wrapTight wrapText="bothSides">
              <wp:wrapPolygon edited="0">
                <wp:start x="0" y="0"/>
                <wp:lineTo x="0" y="21032"/>
                <wp:lineTo x="21482" y="21032"/>
                <wp:lineTo x="21482" y="0"/>
                <wp:lineTo x="0" y="0"/>
              </wp:wrapPolygon>
            </wp:wrapTight>
            <wp:docPr id="6" name="Picture 10" descr="Smile 4 lif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mile 4 life.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3075" cy="723900"/>
                    </a:xfrm>
                    <a:prstGeom prst="rect">
                      <a:avLst/>
                    </a:prstGeom>
                    <a:noFill/>
                  </pic:spPr>
                </pic:pic>
              </a:graphicData>
            </a:graphic>
            <wp14:sizeRelH relativeFrom="page">
              <wp14:pctWidth>0</wp14:pctWidth>
            </wp14:sizeRelH>
            <wp14:sizeRelV relativeFrom="page">
              <wp14:pctHeight>0</wp14:pctHeight>
            </wp14:sizeRelV>
          </wp:anchor>
        </w:drawing>
      </w:r>
      <w:r w:rsidR="00FB4407" w:rsidRPr="009E0E79">
        <w:rPr>
          <w:sz w:val="22"/>
        </w:rPr>
        <w:t>Lancashire is investing in the improvement of oral health through the Smile 4 Life campaign which has been running since 2010.</w:t>
      </w:r>
    </w:p>
    <w:p w14:paraId="3A819CA2" w14:textId="77777777" w:rsidR="00B85E23" w:rsidRPr="009E0E79" w:rsidRDefault="00FB4407" w:rsidP="008A67BD">
      <w:pPr>
        <w:pStyle w:val="ListParagraph"/>
        <w:numPr>
          <w:ilvl w:val="0"/>
          <w:numId w:val="27"/>
        </w:numPr>
        <w:spacing w:before="120" w:after="120" w:line="288" w:lineRule="auto"/>
        <w:jc w:val="both"/>
        <w:rPr>
          <w:noProof/>
          <w:sz w:val="22"/>
          <w:lang w:eastAsia="en-GB"/>
        </w:rPr>
      </w:pPr>
      <w:r w:rsidRPr="009E0E79">
        <w:rPr>
          <w:sz w:val="22"/>
        </w:rPr>
        <w:t>This has been nationally acclaimed for its successes in raising awareness and improving oral health.</w:t>
      </w:r>
    </w:p>
    <w:p w14:paraId="1962D456" w14:textId="77777777" w:rsidR="00FB4407" w:rsidRPr="009E0E79" w:rsidRDefault="00B85E23" w:rsidP="008A67BD">
      <w:pPr>
        <w:pStyle w:val="ListParagraph"/>
        <w:numPr>
          <w:ilvl w:val="0"/>
          <w:numId w:val="27"/>
        </w:numPr>
        <w:spacing w:before="120" w:after="120" w:line="288" w:lineRule="auto"/>
        <w:jc w:val="both"/>
        <w:rPr>
          <w:noProof/>
          <w:sz w:val="22"/>
          <w:lang w:eastAsia="en-GB"/>
        </w:rPr>
      </w:pPr>
      <w:r w:rsidRPr="009E0E79">
        <w:rPr>
          <w:sz w:val="22"/>
        </w:rPr>
        <w:t>Lancashire is currently focusing on improving the timeliness of health assessments in partnership with health</w:t>
      </w:r>
      <w:r w:rsidR="00D12EED" w:rsidRPr="009E0E79">
        <w:rPr>
          <w:sz w:val="22"/>
        </w:rPr>
        <w:t xml:space="preserve"> colleagues</w:t>
      </w:r>
      <w:r w:rsidRPr="009E0E79">
        <w:rPr>
          <w:sz w:val="22"/>
        </w:rPr>
        <w:t>.</w:t>
      </w:r>
      <w:r w:rsidR="00FB4407" w:rsidRPr="009E0E79">
        <w:rPr>
          <w:noProof/>
          <w:sz w:val="22"/>
          <w:lang w:eastAsia="en-GB"/>
        </w:rPr>
        <w:t xml:space="preserve"> </w:t>
      </w:r>
    </w:p>
    <w:p w14:paraId="7F78A6C7" w14:textId="5C7CC655" w:rsidR="00FB4407" w:rsidRPr="009E0E79" w:rsidRDefault="00FB4407" w:rsidP="008A67BD">
      <w:pPr>
        <w:pStyle w:val="ListParagraph"/>
        <w:numPr>
          <w:ilvl w:val="0"/>
          <w:numId w:val="27"/>
        </w:numPr>
        <w:spacing w:before="120" w:after="120" w:line="288" w:lineRule="auto"/>
        <w:jc w:val="both"/>
        <w:rPr>
          <w:noProof/>
          <w:sz w:val="22"/>
          <w:lang w:eastAsia="en-GB"/>
        </w:rPr>
      </w:pPr>
      <w:r w:rsidRPr="009E0E79">
        <w:rPr>
          <w:noProof/>
          <w:sz w:val="22"/>
          <w:lang w:eastAsia="en-GB"/>
        </w:rPr>
        <w:t>Young people feel that the percentage of those with an up-to-date health assessment should be higher – somewhere between 90% and 95%.</w:t>
      </w:r>
      <w:r w:rsidR="009E0E79" w:rsidRPr="009E0E79">
        <w:rPr>
          <w:noProof/>
          <w:sz w:val="22"/>
          <w:lang w:eastAsia="en-GB"/>
        </w:rPr>
        <w:t xml:space="preserve"> This was last achieved in June 2015.</w:t>
      </w:r>
    </w:p>
    <w:p w14:paraId="52A321B1" w14:textId="77777777" w:rsidR="00FB4407" w:rsidRPr="009E0E79" w:rsidRDefault="00FB4407" w:rsidP="008A67BD">
      <w:pPr>
        <w:pStyle w:val="ListParagraph"/>
        <w:numPr>
          <w:ilvl w:val="0"/>
          <w:numId w:val="27"/>
        </w:numPr>
        <w:spacing w:before="120" w:after="120" w:line="288" w:lineRule="auto"/>
        <w:jc w:val="both"/>
        <w:rPr>
          <w:noProof/>
          <w:sz w:val="22"/>
          <w:lang w:eastAsia="en-GB"/>
        </w:rPr>
      </w:pPr>
      <w:r w:rsidRPr="009E0E79">
        <w:rPr>
          <w:noProof/>
          <w:sz w:val="22"/>
          <w:lang w:eastAsia="en-GB"/>
        </w:rPr>
        <w:t>Young people feel that they should be given a choice as to whether they want a health assessment or not. Young people should only be made to have one if there is a cause for concern.</w:t>
      </w:r>
      <w:r w:rsidR="00935ACB" w:rsidRPr="009E0E79">
        <w:rPr>
          <w:noProof/>
          <w:sz w:val="22"/>
          <w:lang w:eastAsia="en-GB"/>
        </w:rPr>
        <w:t xml:space="preserve"> Young people feel health assessments should be different for e</w:t>
      </w:r>
      <w:r w:rsidR="008E0833" w:rsidRPr="009E0E79">
        <w:rPr>
          <w:noProof/>
          <w:sz w:val="22"/>
          <w:lang w:eastAsia="en-GB"/>
        </w:rPr>
        <w:t>a</w:t>
      </w:r>
      <w:r w:rsidR="00935ACB" w:rsidRPr="009E0E79">
        <w:rPr>
          <w:noProof/>
          <w:sz w:val="22"/>
          <w:lang w:eastAsia="en-GB"/>
        </w:rPr>
        <w:t>ch individual. Also, if a young person has a check up at the doctors</w:t>
      </w:r>
      <w:r w:rsidR="00B85E23" w:rsidRPr="009E0E79">
        <w:rPr>
          <w:noProof/>
          <w:sz w:val="22"/>
          <w:lang w:eastAsia="en-GB"/>
        </w:rPr>
        <w:t xml:space="preserve">, this should be counted as a health assessment. </w:t>
      </w:r>
    </w:p>
    <w:p w14:paraId="575077D0" w14:textId="77777777" w:rsidR="00B85E23" w:rsidRPr="009E0E79" w:rsidRDefault="00B85E23" w:rsidP="008A67BD">
      <w:pPr>
        <w:pStyle w:val="ListParagraph"/>
        <w:numPr>
          <w:ilvl w:val="0"/>
          <w:numId w:val="27"/>
        </w:numPr>
        <w:spacing w:before="120" w:after="120" w:line="288" w:lineRule="auto"/>
        <w:jc w:val="both"/>
        <w:rPr>
          <w:noProof/>
          <w:sz w:val="22"/>
          <w:lang w:eastAsia="en-GB"/>
        </w:rPr>
      </w:pPr>
      <w:r w:rsidRPr="009E0E79">
        <w:rPr>
          <w:noProof/>
          <w:sz w:val="22"/>
          <w:lang w:eastAsia="en-GB"/>
        </w:rPr>
        <w:t xml:space="preserve">Young people also feel that health assessments need to be confidential as in the past some LINX members have had foster carers in the </w:t>
      </w:r>
      <w:r w:rsidR="008E0833" w:rsidRPr="009E0E79">
        <w:rPr>
          <w:noProof/>
          <w:sz w:val="22"/>
          <w:lang w:eastAsia="en-GB"/>
        </w:rPr>
        <w:t>assessments</w:t>
      </w:r>
      <w:r w:rsidRPr="009E0E79">
        <w:rPr>
          <w:noProof/>
          <w:sz w:val="22"/>
          <w:lang w:eastAsia="en-GB"/>
        </w:rPr>
        <w:t xml:space="preserve"> which can be </w:t>
      </w:r>
      <w:r w:rsidR="008E0833" w:rsidRPr="009E0E79">
        <w:rPr>
          <w:noProof/>
          <w:sz w:val="22"/>
          <w:lang w:eastAsia="en-GB"/>
        </w:rPr>
        <w:t>uncomfortable</w:t>
      </w:r>
      <w:r w:rsidRPr="009E0E79">
        <w:rPr>
          <w:noProof/>
          <w:sz w:val="22"/>
          <w:lang w:eastAsia="en-GB"/>
        </w:rPr>
        <w:t xml:space="preserve"> when they are </w:t>
      </w:r>
      <w:r w:rsidR="008E0833" w:rsidRPr="009E0E79">
        <w:rPr>
          <w:noProof/>
          <w:sz w:val="22"/>
          <w:lang w:eastAsia="en-GB"/>
        </w:rPr>
        <w:t>being asked personal questions</w:t>
      </w:r>
      <w:r w:rsidRPr="009E0E79">
        <w:rPr>
          <w:noProof/>
          <w:sz w:val="22"/>
          <w:lang w:eastAsia="en-GB"/>
        </w:rPr>
        <w:t>.</w:t>
      </w:r>
    </w:p>
    <w:p w14:paraId="729D8692" w14:textId="2040740B" w:rsidR="00007900" w:rsidRPr="009E0E79" w:rsidRDefault="00007900" w:rsidP="008A67BD">
      <w:pPr>
        <w:pStyle w:val="ListParagraph"/>
        <w:numPr>
          <w:ilvl w:val="0"/>
          <w:numId w:val="27"/>
        </w:numPr>
        <w:spacing w:before="120" w:after="120" w:line="288" w:lineRule="auto"/>
        <w:jc w:val="both"/>
        <w:rPr>
          <w:noProof/>
          <w:sz w:val="22"/>
          <w:lang w:eastAsia="en-GB"/>
        </w:rPr>
      </w:pPr>
      <w:r w:rsidRPr="009E0E79">
        <w:rPr>
          <w:noProof/>
          <w:sz w:val="22"/>
          <w:lang w:eastAsia="en-GB"/>
        </w:rPr>
        <w:t>Young people asked whether health and dental assessments could continue after leaving care.</w:t>
      </w:r>
    </w:p>
    <w:p w14:paraId="451151B6" w14:textId="77777777" w:rsidR="00FB4407" w:rsidRPr="00335C79" w:rsidRDefault="00FB4407" w:rsidP="00CC14A4">
      <w:pPr>
        <w:spacing w:before="120" w:after="120" w:line="288" w:lineRule="auto"/>
        <w:jc w:val="both"/>
        <w:rPr>
          <w:sz w:val="22"/>
          <w:highlight w:val="yellow"/>
        </w:rPr>
      </w:pPr>
    </w:p>
    <w:p w14:paraId="44788337" w14:textId="77777777" w:rsidR="00FB4407" w:rsidRPr="009E0E79" w:rsidRDefault="0011131C" w:rsidP="00A876BB">
      <w:pPr>
        <w:spacing w:after="120" w:line="288" w:lineRule="auto"/>
        <w:rPr>
          <w:rStyle w:val="IntenseReference"/>
        </w:rPr>
      </w:pPr>
      <w:r w:rsidRPr="009E0E79">
        <w:rPr>
          <w:noProof/>
          <w:lang w:eastAsia="en-GB"/>
        </w:rPr>
        <w:drawing>
          <wp:anchor distT="0" distB="0" distL="114300" distR="114300" simplePos="0" relativeHeight="251658240" behindDoc="1" locked="0" layoutInCell="1" allowOverlap="1" wp14:anchorId="36F6B87B" wp14:editId="321016A2">
            <wp:simplePos x="0" y="0"/>
            <wp:positionH relativeFrom="column">
              <wp:posOffset>4479290</wp:posOffset>
            </wp:positionH>
            <wp:positionV relativeFrom="paragraph">
              <wp:posOffset>207010</wp:posOffset>
            </wp:positionV>
            <wp:extent cx="1480185" cy="1041400"/>
            <wp:effectExtent l="0" t="0" r="5715" b="6350"/>
            <wp:wrapTight wrapText="bothSides">
              <wp:wrapPolygon edited="0">
                <wp:start x="0" y="0"/>
                <wp:lineTo x="0" y="21337"/>
                <wp:lineTo x="21405" y="21337"/>
                <wp:lineTo x="21405" y="0"/>
                <wp:lineTo x="0" y="0"/>
              </wp:wrapPolygon>
            </wp:wrapTight>
            <wp:docPr id="7" name="Picture 9" descr="joined 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oined hand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0185" cy="1041400"/>
                    </a:xfrm>
                    <a:prstGeom prst="rect">
                      <a:avLst/>
                    </a:prstGeom>
                    <a:noFill/>
                  </pic:spPr>
                </pic:pic>
              </a:graphicData>
            </a:graphic>
            <wp14:sizeRelH relativeFrom="page">
              <wp14:pctWidth>0</wp14:pctWidth>
            </wp14:sizeRelH>
            <wp14:sizeRelV relativeFrom="page">
              <wp14:pctHeight>0</wp14:pctHeight>
            </wp14:sizeRelV>
          </wp:anchor>
        </w:drawing>
      </w:r>
      <w:r w:rsidR="00FB4407" w:rsidRPr="009E0E79">
        <w:rPr>
          <w:rStyle w:val="IntenseReference"/>
        </w:rPr>
        <w:t>Adoption and Permanence</w:t>
      </w:r>
    </w:p>
    <w:p w14:paraId="5E4EB57D" w14:textId="77777777" w:rsidR="00FB4407" w:rsidRPr="009E0E79" w:rsidRDefault="00FB4407" w:rsidP="006E55A0">
      <w:pPr>
        <w:spacing w:after="120" w:line="288" w:lineRule="auto"/>
        <w:rPr>
          <w:rStyle w:val="IntenseReference"/>
        </w:rPr>
      </w:pPr>
      <w:r w:rsidRPr="009E0E79">
        <w:rPr>
          <w:rStyle w:val="IntenseReference"/>
        </w:rPr>
        <w:t>Adoption Orders</w:t>
      </w:r>
    </w:p>
    <w:p w14:paraId="0C955474" w14:textId="0C9216D9" w:rsidR="00FB4407" w:rsidRPr="009E0E79" w:rsidRDefault="00007900" w:rsidP="00F56C7A">
      <w:pPr>
        <w:pStyle w:val="ListParagraph"/>
        <w:numPr>
          <w:ilvl w:val="0"/>
          <w:numId w:val="15"/>
        </w:numPr>
        <w:spacing w:after="120" w:line="288" w:lineRule="auto"/>
        <w:rPr>
          <w:sz w:val="22"/>
        </w:rPr>
      </w:pPr>
      <w:r w:rsidRPr="009E0E79">
        <w:rPr>
          <w:b/>
          <w:sz w:val="22"/>
        </w:rPr>
        <w:t>279</w:t>
      </w:r>
      <w:r w:rsidR="00FB4407" w:rsidRPr="009E0E79">
        <w:rPr>
          <w:sz w:val="22"/>
        </w:rPr>
        <w:t xml:space="preserve"> children looked after have been adopted over the last 3 years.</w:t>
      </w:r>
    </w:p>
    <w:p w14:paraId="39D18F95" w14:textId="797DF355" w:rsidR="009E0E79" w:rsidRDefault="00FB4407" w:rsidP="009E0E79">
      <w:pPr>
        <w:pStyle w:val="ListParagraph"/>
        <w:numPr>
          <w:ilvl w:val="0"/>
          <w:numId w:val="15"/>
        </w:numPr>
        <w:spacing w:after="120" w:line="288" w:lineRule="auto"/>
        <w:rPr>
          <w:sz w:val="22"/>
        </w:rPr>
      </w:pPr>
      <w:r w:rsidRPr="009E0E79">
        <w:rPr>
          <w:sz w:val="22"/>
        </w:rPr>
        <w:t>The num</w:t>
      </w:r>
      <w:r w:rsidR="00B955B7" w:rsidRPr="009E0E79">
        <w:rPr>
          <w:sz w:val="22"/>
        </w:rPr>
        <w:t xml:space="preserve">ber of adoptions increased to </w:t>
      </w:r>
      <w:r w:rsidR="00007900" w:rsidRPr="009E0E79">
        <w:rPr>
          <w:b/>
          <w:sz w:val="22"/>
        </w:rPr>
        <w:t>121</w:t>
      </w:r>
      <w:r w:rsidRPr="009E0E79">
        <w:rPr>
          <w:sz w:val="22"/>
        </w:rPr>
        <w:t xml:space="preserve"> children lo</w:t>
      </w:r>
      <w:r w:rsidR="00007900" w:rsidRPr="009E0E79">
        <w:rPr>
          <w:sz w:val="22"/>
        </w:rPr>
        <w:t>oked after being adopted in 2014</w:t>
      </w:r>
      <w:r w:rsidRPr="009E0E79">
        <w:rPr>
          <w:sz w:val="22"/>
        </w:rPr>
        <w:t>/1</w:t>
      </w:r>
      <w:r w:rsidR="00007900" w:rsidRPr="009E0E79">
        <w:rPr>
          <w:sz w:val="22"/>
        </w:rPr>
        <w:t>5</w:t>
      </w:r>
      <w:r w:rsidRPr="009E0E79">
        <w:rPr>
          <w:sz w:val="22"/>
        </w:rPr>
        <w:t>,</w:t>
      </w:r>
      <w:r w:rsidR="00007900" w:rsidRPr="009E0E79">
        <w:rPr>
          <w:sz w:val="22"/>
        </w:rPr>
        <w:t xml:space="preserve"> much</w:t>
      </w:r>
      <w:r w:rsidRPr="009E0E79">
        <w:rPr>
          <w:sz w:val="22"/>
        </w:rPr>
        <w:t xml:space="preserve"> higher than in previous years.</w:t>
      </w:r>
    </w:p>
    <w:p w14:paraId="6FECF1F2" w14:textId="2D967A8D" w:rsidR="009E0E79" w:rsidRPr="009E0E79" w:rsidRDefault="009E0E79" w:rsidP="009E0E79">
      <w:pPr>
        <w:pStyle w:val="ListParagraph"/>
        <w:numPr>
          <w:ilvl w:val="0"/>
          <w:numId w:val="15"/>
        </w:numPr>
        <w:spacing w:after="120" w:line="288" w:lineRule="auto"/>
        <w:rPr>
          <w:sz w:val="22"/>
        </w:rPr>
      </w:pPr>
      <w:r w:rsidRPr="009E0E79">
        <w:rPr>
          <w:b/>
          <w:sz w:val="22"/>
        </w:rPr>
        <w:lastRenderedPageBreak/>
        <w:t xml:space="preserve">23 </w:t>
      </w:r>
      <w:r>
        <w:rPr>
          <w:sz w:val="22"/>
        </w:rPr>
        <w:t>children have been adopted during Quarter 1 2015/16.</w:t>
      </w:r>
    </w:p>
    <w:p w14:paraId="3AE897C0" w14:textId="365E905F" w:rsidR="00FB4407" w:rsidRPr="009E0E79" w:rsidRDefault="00007900" w:rsidP="00F56C7A">
      <w:pPr>
        <w:pStyle w:val="ListParagraph"/>
        <w:numPr>
          <w:ilvl w:val="0"/>
          <w:numId w:val="15"/>
        </w:numPr>
        <w:spacing w:after="120" w:line="288" w:lineRule="auto"/>
        <w:rPr>
          <w:sz w:val="22"/>
        </w:rPr>
      </w:pPr>
      <w:r w:rsidRPr="009E0E79">
        <w:rPr>
          <w:sz w:val="22"/>
        </w:rPr>
        <w:t>LINX would like to know the ages of those adopted as theorised that it's more difficult to place a child after they are 2 years old, and much more difficult to place a teenager.</w:t>
      </w:r>
      <w:r w:rsidR="003545C3" w:rsidRPr="009E0E79">
        <w:rPr>
          <w:sz w:val="22"/>
        </w:rPr>
        <w:t xml:space="preserve"> 93 (77%) of the children </w:t>
      </w:r>
      <w:r w:rsidR="00761FB8" w:rsidRPr="009E0E79">
        <w:rPr>
          <w:sz w:val="22"/>
        </w:rPr>
        <w:t xml:space="preserve">adopted in the last year </w:t>
      </w:r>
      <w:r w:rsidR="003545C3" w:rsidRPr="009E0E79">
        <w:rPr>
          <w:sz w:val="22"/>
        </w:rPr>
        <w:t xml:space="preserve">were matched to a family </w:t>
      </w:r>
      <w:r w:rsidR="00761FB8" w:rsidRPr="009E0E79">
        <w:rPr>
          <w:sz w:val="22"/>
        </w:rPr>
        <w:t>before the age of</w:t>
      </w:r>
      <w:r w:rsidR="003545C3" w:rsidRPr="009E0E79">
        <w:rPr>
          <w:sz w:val="22"/>
        </w:rPr>
        <w:t xml:space="preserve"> 3. The eldest child that was adopted in 2014/15 was matched to a family at the age of 8.</w:t>
      </w:r>
    </w:p>
    <w:p w14:paraId="081265FD" w14:textId="77777777" w:rsidR="00FB4407" w:rsidRPr="00335C79" w:rsidRDefault="00FB4407" w:rsidP="006E55A0">
      <w:pPr>
        <w:spacing w:before="120" w:after="120" w:line="288" w:lineRule="auto"/>
        <w:jc w:val="both"/>
        <w:rPr>
          <w:sz w:val="22"/>
          <w:highlight w:val="yellow"/>
        </w:rPr>
      </w:pPr>
    </w:p>
    <w:p w14:paraId="44DF4818" w14:textId="77777777" w:rsidR="00FB4407" w:rsidRPr="009E0E79" w:rsidRDefault="00FB4407" w:rsidP="00A876BB">
      <w:pPr>
        <w:spacing w:after="120" w:line="288" w:lineRule="auto"/>
        <w:rPr>
          <w:rStyle w:val="IntenseReference"/>
        </w:rPr>
      </w:pPr>
      <w:r w:rsidRPr="009E0E79">
        <w:rPr>
          <w:rStyle w:val="IntenseReference"/>
        </w:rPr>
        <w:t>Special Guardianship Order (SGO) or Residence Orders (RO)</w:t>
      </w:r>
    </w:p>
    <w:p w14:paraId="44DD8880" w14:textId="77777777" w:rsidR="00FB4407" w:rsidRPr="009E0E79" w:rsidRDefault="00FB4407" w:rsidP="00F56C7A">
      <w:pPr>
        <w:spacing w:after="120" w:line="288" w:lineRule="auto"/>
        <w:jc w:val="both"/>
        <w:rPr>
          <w:rFonts w:cs="Arial"/>
          <w:sz w:val="22"/>
        </w:rPr>
      </w:pPr>
      <w:r w:rsidRPr="009E0E79">
        <w:rPr>
          <w:rFonts w:cs="Arial"/>
          <w:sz w:val="22"/>
        </w:rPr>
        <w:t xml:space="preserve">Special guardianship orders or residence orders are an alternative to adoption, but still provide children looked after with a permanent home: </w:t>
      </w:r>
    </w:p>
    <w:p w14:paraId="01CA70CB" w14:textId="77777777" w:rsidR="00FB4407" w:rsidRPr="009E0E79" w:rsidRDefault="007B214B" w:rsidP="00805FB7">
      <w:pPr>
        <w:pStyle w:val="ListParagraph"/>
        <w:numPr>
          <w:ilvl w:val="0"/>
          <w:numId w:val="17"/>
        </w:numPr>
        <w:spacing w:after="120" w:line="288" w:lineRule="auto"/>
        <w:jc w:val="both"/>
        <w:rPr>
          <w:sz w:val="22"/>
        </w:rPr>
      </w:pPr>
      <w:r w:rsidRPr="009E0E79">
        <w:rPr>
          <w:b/>
          <w:sz w:val="22"/>
        </w:rPr>
        <w:t>120</w:t>
      </w:r>
      <w:r w:rsidR="00FB4407" w:rsidRPr="009E0E79">
        <w:rPr>
          <w:sz w:val="22"/>
        </w:rPr>
        <w:t xml:space="preserve"> looked after</w:t>
      </w:r>
      <w:r w:rsidRPr="009E0E79">
        <w:rPr>
          <w:sz w:val="22"/>
        </w:rPr>
        <w:t xml:space="preserve"> children</w:t>
      </w:r>
      <w:r w:rsidR="00FB4407" w:rsidRPr="009E0E79">
        <w:rPr>
          <w:sz w:val="22"/>
        </w:rPr>
        <w:t xml:space="preserve"> were given a permanent home under specia</w:t>
      </w:r>
      <w:r w:rsidRPr="009E0E79">
        <w:rPr>
          <w:sz w:val="22"/>
        </w:rPr>
        <w:t>l guardianship order during 2014/15.</w:t>
      </w:r>
    </w:p>
    <w:p w14:paraId="4E55CA80" w14:textId="77777777" w:rsidR="00FB4407" w:rsidRPr="009E0E79" w:rsidRDefault="00FB4407" w:rsidP="00805FB7">
      <w:pPr>
        <w:pStyle w:val="ListParagraph"/>
        <w:numPr>
          <w:ilvl w:val="0"/>
          <w:numId w:val="17"/>
        </w:numPr>
        <w:spacing w:after="120" w:line="288" w:lineRule="auto"/>
        <w:jc w:val="both"/>
        <w:rPr>
          <w:sz w:val="22"/>
        </w:rPr>
      </w:pPr>
      <w:r w:rsidRPr="009E0E79">
        <w:rPr>
          <w:b/>
          <w:sz w:val="22"/>
        </w:rPr>
        <w:t>1</w:t>
      </w:r>
      <w:r w:rsidR="007B214B" w:rsidRPr="009E0E79">
        <w:rPr>
          <w:b/>
          <w:sz w:val="22"/>
        </w:rPr>
        <w:t>6</w:t>
      </w:r>
      <w:r w:rsidR="007B214B" w:rsidRPr="009E0E79">
        <w:rPr>
          <w:sz w:val="22"/>
        </w:rPr>
        <w:t xml:space="preserve"> </w:t>
      </w:r>
      <w:r w:rsidRPr="009E0E79">
        <w:rPr>
          <w:sz w:val="22"/>
        </w:rPr>
        <w:t xml:space="preserve">looked after </w:t>
      </w:r>
      <w:r w:rsidR="007B214B" w:rsidRPr="009E0E79">
        <w:rPr>
          <w:sz w:val="22"/>
        </w:rPr>
        <w:t xml:space="preserve">children </w:t>
      </w:r>
      <w:r w:rsidRPr="009E0E79">
        <w:rPr>
          <w:sz w:val="22"/>
        </w:rPr>
        <w:t>were given a permanent home u</w:t>
      </w:r>
      <w:r w:rsidR="007B214B" w:rsidRPr="009E0E79">
        <w:rPr>
          <w:sz w:val="22"/>
        </w:rPr>
        <w:t>nder residence order during 2014/15</w:t>
      </w:r>
      <w:r w:rsidRPr="009E0E79">
        <w:rPr>
          <w:sz w:val="22"/>
        </w:rPr>
        <w:t>, a slight decrease on performance last year</w:t>
      </w:r>
    </w:p>
    <w:p w14:paraId="4C467787" w14:textId="77777777" w:rsidR="00FB4407" w:rsidRPr="009E0E79" w:rsidRDefault="00FB4407" w:rsidP="009F47A8">
      <w:pPr>
        <w:spacing w:after="120" w:line="288" w:lineRule="auto"/>
        <w:rPr>
          <w:rStyle w:val="SubtleReference"/>
        </w:rPr>
      </w:pPr>
      <w:r w:rsidRPr="009E0E79">
        <w:rPr>
          <w:rStyle w:val="SubtleReference"/>
        </w:rPr>
        <w:t>Comments:</w:t>
      </w:r>
    </w:p>
    <w:p w14:paraId="46645D85" w14:textId="25756871" w:rsidR="00FB4407" w:rsidRPr="009E0E79" w:rsidRDefault="00FB4407" w:rsidP="008A67BD">
      <w:pPr>
        <w:pStyle w:val="ListParagraph"/>
        <w:numPr>
          <w:ilvl w:val="0"/>
          <w:numId w:val="28"/>
        </w:numPr>
        <w:spacing w:before="120" w:after="120" w:line="288" w:lineRule="auto"/>
        <w:jc w:val="both"/>
        <w:rPr>
          <w:sz w:val="22"/>
        </w:rPr>
      </w:pPr>
      <w:r w:rsidRPr="009E0E79">
        <w:rPr>
          <w:sz w:val="22"/>
        </w:rPr>
        <w:t xml:space="preserve">Overall more children looked after than ever are being provided with a permanent home under adoption, special guardianship order or residence orders; </w:t>
      </w:r>
      <w:r w:rsidR="00761FB8" w:rsidRPr="009E0E79">
        <w:rPr>
          <w:b/>
          <w:sz w:val="22"/>
        </w:rPr>
        <w:t>257</w:t>
      </w:r>
      <w:r w:rsidRPr="009E0E79">
        <w:rPr>
          <w:sz w:val="22"/>
        </w:rPr>
        <w:t xml:space="preserve"> in </w:t>
      </w:r>
      <w:r w:rsidR="00B955B7" w:rsidRPr="009E0E79">
        <w:rPr>
          <w:sz w:val="22"/>
        </w:rPr>
        <w:t>2014/15</w:t>
      </w:r>
      <w:r w:rsidRPr="009E0E79">
        <w:rPr>
          <w:sz w:val="22"/>
        </w:rPr>
        <w:t xml:space="preserve"> which represents considerable success.</w:t>
      </w:r>
    </w:p>
    <w:p w14:paraId="25B1116E" w14:textId="77777777" w:rsidR="00FB4407" w:rsidRPr="00335C79" w:rsidRDefault="00FB4407" w:rsidP="00D25740">
      <w:pPr>
        <w:spacing w:before="120" w:after="120" w:line="288" w:lineRule="auto"/>
        <w:jc w:val="both"/>
        <w:rPr>
          <w:sz w:val="22"/>
          <w:highlight w:val="yellow"/>
        </w:rPr>
      </w:pPr>
    </w:p>
    <w:p w14:paraId="14F668F4" w14:textId="77777777" w:rsidR="00FB4407" w:rsidRPr="009F3F3B" w:rsidRDefault="0011131C" w:rsidP="00B034AA">
      <w:pPr>
        <w:spacing w:before="120" w:after="120" w:line="288" w:lineRule="auto"/>
        <w:jc w:val="both"/>
        <w:rPr>
          <w:rStyle w:val="IntenseReference"/>
        </w:rPr>
      </w:pPr>
      <w:r w:rsidRPr="009F3F3B">
        <w:rPr>
          <w:noProof/>
          <w:lang w:eastAsia="en-GB"/>
        </w:rPr>
        <w:drawing>
          <wp:anchor distT="0" distB="0" distL="114300" distR="114300" simplePos="0" relativeHeight="251652096" behindDoc="1" locked="0" layoutInCell="1" allowOverlap="1" wp14:anchorId="2E41176D" wp14:editId="122C6A85">
            <wp:simplePos x="0" y="0"/>
            <wp:positionH relativeFrom="column">
              <wp:posOffset>4830445</wp:posOffset>
            </wp:positionH>
            <wp:positionV relativeFrom="paragraph">
              <wp:posOffset>-24765</wp:posOffset>
            </wp:positionV>
            <wp:extent cx="1086485" cy="1083945"/>
            <wp:effectExtent l="0" t="0" r="0" b="1905"/>
            <wp:wrapTight wrapText="bothSides">
              <wp:wrapPolygon edited="0">
                <wp:start x="0" y="0"/>
                <wp:lineTo x="0" y="21258"/>
                <wp:lineTo x="21209" y="21258"/>
                <wp:lineTo x="21209" y="0"/>
                <wp:lineTo x="0" y="0"/>
              </wp:wrapPolygon>
            </wp:wrapTight>
            <wp:docPr id="8" name="Picture 6" descr="Cast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stle.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6485" cy="1083945"/>
                    </a:xfrm>
                    <a:prstGeom prst="rect">
                      <a:avLst/>
                    </a:prstGeom>
                    <a:noFill/>
                  </pic:spPr>
                </pic:pic>
              </a:graphicData>
            </a:graphic>
            <wp14:sizeRelH relativeFrom="page">
              <wp14:pctWidth>0</wp14:pctWidth>
            </wp14:sizeRelH>
            <wp14:sizeRelV relativeFrom="page">
              <wp14:pctHeight>0</wp14:pctHeight>
            </wp14:sizeRelV>
          </wp:anchor>
        </w:drawing>
      </w:r>
      <w:r w:rsidR="00FB4407" w:rsidRPr="009F3F3B">
        <w:rPr>
          <w:rStyle w:val="IntenseReference"/>
        </w:rPr>
        <w:t>Outcomes for Care Leavers</w:t>
      </w:r>
    </w:p>
    <w:p w14:paraId="4C2510C3" w14:textId="77777777" w:rsidR="00FB4407" w:rsidRPr="009F3F3B" w:rsidRDefault="00FB4407" w:rsidP="006C30AB">
      <w:pPr>
        <w:spacing w:after="120" w:line="288" w:lineRule="auto"/>
        <w:rPr>
          <w:rStyle w:val="IntenseReference"/>
        </w:rPr>
      </w:pPr>
      <w:r w:rsidRPr="009F3F3B">
        <w:rPr>
          <w:rStyle w:val="IntenseReference"/>
        </w:rPr>
        <w:t xml:space="preserve">Care leavers in suitable accommodation (Old NI 147) </w:t>
      </w:r>
    </w:p>
    <w:p w14:paraId="4500E48D" w14:textId="77777777" w:rsidR="00FB4407" w:rsidRPr="009F3F3B" w:rsidRDefault="00FB4407" w:rsidP="00F2709A">
      <w:pPr>
        <w:spacing w:after="120" w:line="288" w:lineRule="auto"/>
        <w:rPr>
          <w:rFonts w:cs="Arial"/>
          <w:sz w:val="22"/>
        </w:rPr>
      </w:pPr>
      <w:r w:rsidRPr="009F3F3B">
        <w:rPr>
          <w:rFonts w:cs="Arial"/>
          <w:i/>
          <w:sz w:val="22"/>
        </w:rPr>
        <w:t xml:space="preserve">Suitable accommodation is regarded as suitable if it provides safe, secure and affordable provision for young people. </w:t>
      </w:r>
      <w:r w:rsidRPr="009F3F3B">
        <w:rPr>
          <w:rFonts w:cs="Arial"/>
          <w:sz w:val="22"/>
        </w:rPr>
        <w:t>The percentage of care leavers at age 19 that are living in "suitable accommodation":</w:t>
      </w:r>
    </w:p>
    <w:p w14:paraId="4E4CDBA6" w14:textId="77777777" w:rsidR="00FB4407" w:rsidRPr="009F3F3B" w:rsidRDefault="00FB4407" w:rsidP="00EE0DEA">
      <w:pPr>
        <w:pStyle w:val="ListParagraph"/>
        <w:numPr>
          <w:ilvl w:val="0"/>
          <w:numId w:val="13"/>
        </w:numPr>
        <w:spacing w:after="120" w:line="288" w:lineRule="auto"/>
        <w:rPr>
          <w:sz w:val="22"/>
        </w:rPr>
      </w:pPr>
      <w:r w:rsidRPr="009F3F3B">
        <w:rPr>
          <w:sz w:val="22"/>
        </w:rPr>
        <w:t xml:space="preserve">In 2013/14, out of 100 care leavers, </w:t>
      </w:r>
      <w:r w:rsidRPr="009F3F3B">
        <w:rPr>
          <w:b/>
          <w:sz w:val="22"/>
        </w:rPr>
        <w:t xml:space="preserve">82 </w:t>
      </w:r>
      <w:r w:rsidRPr="009F3F3B">
        <w:rPr>
          <w:sz w:val="22"/>
        </w:rPr>
        <w:t>are considered to be in suitable accommodation</w:t>
      </w:r>
    </w:p>
    <w:p w14:paraId="759354C1" w14:textId="77777777" w:rsidR="00FB4407" w:rsidRPr="009F3F3B" w:rsidRDefault="00FB4407" w:rsidP="00EE0DEA">
      <w:pPr>
        <w:pStyle w:val="ListParagraph"/>
        <w:numPr>
          <w:ilvl w:val="0"/>
          <w:numId w:val="13"/>
        </w:numPr>
        <w:spacing w:after="120" w:line="288" w:lineRule="auto"/>
        <w:rPr>
          <w:sz w:val="22"/>
        </w:rPr>
      </w:pPr>
      <w:r w:rsidRPr="009F3F3B">
        <w:rPr>
          <w:sz w:val="22"/>
        </w:rPr>
        <w:t xml:space="preserve">This is lower than two years ago, when </w:t>
      </w:r>
      <w:r w:rsidRPr="009F3F3B">
        <w:rPr>
          <w:b/>
          <w:sz w:val="22"/>
        </w:rPr>
        <w:t>93</w:t>
      </w:r>
      <w:r w:rsidRPr="009F3F3B">
        <w:rPr>
          <w:sz w:val="22"/>
        </w:rPr>
        <w:t xml:space="preserve"> out of 100 were in suitable accommodation</w:t>
      </w:r>
    </w:p>
    <w:p w14:paraId="30276E12" w14:textId="77777777" w:rsidR="00FB4407" w:rsidRPr="009F3F3B" w:rsidRDefault="00FB4407" w:rsidP="009F47A8">
      <w:pPr>
        <w:spacing w:after="120" w:line="288" w:lineRule="auto"/>
        <w:rPr>
          <w:rStyle w:val="SubtleReference"/>
        </w:rPr>
      </w:pPr>
      <w:r w:rsidRPr="009F3F3B">
        <w:rPr>
          <w:rStyle w:val="SubtleReference"/>
        </w:rPr>
        <w:t>Comments:</w:t>
      </w:r>
      <w:bookmarkStart w:id="0" w:name="_GoBack"/>
      <w:bookmarkEnd w:id="0"/>
    </w:p>
    <w:p w14:paraId="73B6690D" w14:textId="77777777" w:rsidR="00FB4407" w:rsidRPr="009F3F3B" w:rsidRDefault="00FB4407" w:rsidP="0021451D">
      <w:pPr>
        <w:pStyle w:val="ListParagraph"/>
        <w:numPr>
          <w:ilvl w:val="0"/>
          <w:numId w:val="23"/>
        </w:numPr>
        <w:spacing w:before="120" w:after="120" w:line="288" w:lineRule="auto"/>
        <w:jc w:val="both"/>
        <w:rPr>
          <w:sz w:val="22"/>
        </w:rPr>
      </w:pPr>
      <w:r w:rsidRPr="009F3F3B">
        <w:rPr>
          <w:sz w:val="22"/>
        </w:rPr>
        <w:t xml:space="preserve">The number of care leavers in suitable accommodation has declined from a high level in 2010/11 to a lower level in recent years. This is below the target of </w:t>
      </w:r>
      <w:r w:rsidRPr="009F3F3B">
        <w:rPr>
          <w:b/>
          <w:sz w:val="22"/>
        </w:rPr>
        <w:t>89</w:t>
      </w:r>
      <w:r w:rsidRPr="009F3F3B">
        <w:rPr>
          <w:sz w:val="22"/>
        </w:rPr>
        <w:t xml:space="preserve"> out of 100.</w:t>
      </w:r>
    </w:p>
    <w:p w14:paraId="37E900A0" w14:textId="77777777" w:rsidR="00B955B7" w:rsidRPr="009F3F3B" w:rsidRDefault="00B955B7" w:rsidP="0021451D">
      <w:pPr>
        <w:pStyle w:val="ListParagraph"/>
        <w:numPr>
          <w:ilvl w:val="0"/>
          <w:numId w:val="23"/>
        </w:numPr>
        <w:spacing w:before="120" w:after="120" w:line="288" w:lineRule="auto"/>
        <w:jc w:val="both"/>
        <w:rPr>
          <w:sz w:val="22"/>
        </w:rPr>
      </w:pPr>
      <w:r w:rsidRPr="009F3F3B">
        <w:rPr>
          <w:sz w:val="22"/>
        </w:rPr>
        <w:t xml:space="preserve">Performance as at the end of </w:t>
      </w:r>
      <w:r w:rsidR="00FA32D2" w:rsidRPr="009F3F3B">
        <w:rPr>
          <w:sz w:val="22"/>
        </w:rPr>
        <w:t xml:space="preserve">Q2 in </w:t>
      </w:r>
      <w:r w:rsidRPr="009F3F3B">
        <w:rPr>
          <w:sz w:val="22"/>
        </w:rPr>
        <w:t>September 2014 was 64.3%</w:t>
      </w:r>
    </w:p>
    <w:p w14:paraId="00C9B8FE" w14:textId="72F832C7" w:rsidR="00FB4407" w:rsidRPr="009F3F3B" w:rsidRDefault="00011B23" w:rsidP="00011B23">
      <w:pPr>
        <w:pStyle w:val="ListParagraph"/>
        <w:numPr>
          <w:ilvl w:val="0"/>
          <w:numId w:val="23"/>
        </w:numPr>
        <w:spacing w:before="120" w:after="120" w:line="288" w:lineRule="auto"/>
        <w:jc w:val="both"/>
        <w:rPr>
          <w:sz w:val="22"/>
        </w:rPr>
      </w:pPr>
      <w:r w:rsidRPr="009F3F3B">
        <w:rPr>
          <w:sz w:val="22"/>
        </w:rPr>
        <w:t>Young people feel that the target should be 100% as everyone is entitled to be safe and secure. Young people wish to know where the others are residing to not meet this definition.</w:t>
      </w:r>
    </w:p>
    <w:p w14:paraId="36C0FA9F" w14:textId="245B8932" w:rsidR="00011B23" w:rsidRPr="009F3F3B" w:rsidRDefault="00011B23" w:rsidP="00011B23">
      <w:pPr>
        <w:pStyle w:val="ListParagraph"/>
        <w:numPr>
          <w:ilvl w:val="0"/>
          <w:numId w:val="23"/>
        </w:numPr>
        <w:spacing w:before="120" w:after="120" w:line="288" w:lineRule="auto"/>
        <w:jc w:val="both"/>
        <w:rPr>
          <w:sz w:val="22"/>
        </w:rPr>
      </w:pPr>
      <w:r w:rsidRPr="009F3F3B">
        <w:rPr>
          <w:sz w:val="22"/>
        </w:rPr>
        <w:t>Young people feel that when a young person leaves care, placement options should be available for the young person to consider, review and be approved before the change. Moreover, more support needs to be given around budgeting, as this could be lead to problems paying for rent. Young people think that all children looked after should be involved in this process.</w:t>
      </w:r>
    </w:p>
    <w:p w14:paraId="55CAAAF5" w14:textId="77777777" w:rsidR="00FB4407" w:rsidRPr="009F3F3B" w:rsidRDefault="0011131C" w:rsidP="00A876BB">
      <w:pPr>
        <w:spacing w:after="120" w:line="288" w:lineRule="auto"/>
        <w:rPr>
          <w:rStyle w:val="IntenseReference"/>
        </w:rPr>
      </w:pPr>
      <w:r w:rsidRPr="009F3F3B">
        <w:rPr>
          <w:noProof/>
          <w:lang w:eastAsia="en-GB"/>
        </w:rPr>
        <w:lastRenderedPageBreak/>
        <w:drawing>
          <wp:anchor distT="0" distB="0" distL="114300" distR="114300" simplePos="0" relativeHeight="251666432" behindDoc="1" locked="0" layoutInCell="1" allowOverlap="1" wp14:anchorId="4CFF3374" wp14:editId="7565B963">
            <wp:simplePos x="0" y="0"/>
            <wp:positionH relativeFrom="column">
              <wp:posOffset>4832350</wp:posOffset>
            </wp:positionH>
            <wp:positionV relativeFrom="paragraph">
              <wp:posOffset>250190</wp:posOffset>
            </wp:positionV>
            <wp:extent cx="1356360" cy="937895"/>
            <wp:effectExtent l="0" t="0" r="0" b="0"/>
            <wp:wrapTight wrapText="bothSides">
              <wp:wrapPolygon edited="0">
                <wp:start x="1820" y="0"/>
                <wp:lineTo x="0" y="5703"/>
                <wp:lineTo x="0" y="20181"/>
                <wp:lineTo x="10011" y="21059"/>
                <wp:lineTo x="17596" y="21059"/>
                <wp:lineTo x="19416" y="20620"/>
                <wp:lineTo x="20629" y="17988"/>
                <wp:lineTo x="20022" y="14917"/>
                <wp:lineTo x="21236" y="7897"/>
                <wp:lineTo x="21236" y="3071"/>
                <wp:lineTo x="16382" y="877"/>
                <wp:lineTo x="4247" y="0"/>
                <wp:lineTo x="182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56360" cy="937895"/>
                    </a:xfrm>
                    <a:prstGeom prst="rect">
                      <a:avLst/>
                    </a:prstGeom>
                    <a:noFill/>
                  </pic:spPr>
                </pic:pic>
              </a:graphicData>
            </a:graphic>
            <wp14:sizeRelH relativeFrom="page">
              <wp14:pctWidth>0</wp14:pctWidth>
            </wp14:sizeRelH>
            <wp14:sizeRelV relativeFrom="page">
              <wp14:pctHeight>0</wp14:pctHeight>
            </wp14:sizeRelV>
          </wp:anchor>
        </w:drawing>
      </w:r>
      <w:r w:rsidR="00FB4407" w:rsidRPr="009F3F3B">
        <w:rPr>
          <w:rStyle w:val="IntenseReference"/>
        </w:rPr>
        <w:t>Care leavers in education, employment or training (old NI 148)</w:t>
      </w:r>
    </w:p>
    <w:p w14:paraId="5B0D6C2B" w14:textId="77777777" w:rsidR="00FB4407" w:rsidRPr="009F3F3B" w:rsidRDefault="00FB4407" w:rsidP="00F2709A">
      <w:pPr>
        <w:spacing w:after="120" w:line="288" w:lineRule="auto"/>
        <w:rPr>
          <w:rFonts w:cs="Arial"/>
          <w:sz w:val="22"/>
        </w:rPr>
      </w:pPr>
      <w:r w:rsidRPr="009F3F3B">
        <w:rPr>
          <w:rFonts w:cs="Arial"/>
          <w:sz w:val="22"/>
        </w:rPr>
        <w:t>The percentage of care leavers at 19 who are engaged in education, training or employment:</w:t>
      </w:r>
    </w:p>
    <w:p w14:paraId="2CFB99E5" w14:textId="77777777" w:rsidR="00FB4407" w:rsidRPr="009F3F3B" w:rsidRDefault="00FB4407" w:rsidP="00FE1124">
      <w:pPr>
        <w:pStyle w:val="ListParagraph"/>
        <w:numPr>
          <w:ilvl w:val="0"/>
          <w:numId w:val="14"/>
        </w:numPr>
        <w:spacing w:after="120" w:line="288" w:lineRule="auto"/>
        <w:rPr>
          <w:rFonts w:cs="Arial"/>
          <w:sz w:val="22"/>
        </w:rPr>
      </w:pPr>
      <w:r w:rsidRPr="009F3F3B">
        <w:rPr>
          <w:rFonts w:cs="Arial"/>
          <w:sz w:val="22"/>
        </w:rPr>
        <w:t xml:space="preserve">As at the end of 2013/14, </w:t>
      </w:r>
      <w:r w:rsidRPr="009F3F3B">
        <w:rPr>
          <w:rFonts w:cs="Arial"/>
          <w:b/>
          <w:sz w:val="22"/>
        </w:rPr>
        <w:t xml:space="preserve">48 </w:t>
      </w:r>
      <w:r w:rsidRPr="009F3F3B">
        <w:rPr>
          <w:rFonts w:cs="Arial"/>
          <w:sz w:val="22"/>
        </w:rPr>
        <w:t>out of 100 care leavers were in education, training or employment on their 19</w:t>
      </w:r>
      <w:r w:rsidRPr="009F3F3B">
        <w:rPr>
          <w:rFonts w:cs="Arial"/>
          <w:sz w:val="22"/>
          <w:vertAlign w:val="superscript"/>
        </w:rPr>
        <w:t>th</w:t>
      </w:r>
      <w:r w:rsidRPr="009F3F3B">
        <w:rPr>
          <w:rFonts w:cs="Arial"/>
          <w:sz w:val="22"/>
        </w:rPr>
        <w:t xml:space="preserve"> birthday.</w:t>
      </w:r>
    </w:p>
    <w:p w14:paraId="4B4BABB9" w14:textId="77777777" w:rsidR="00FB4407" w:rsidRPr="009F3F3B" w:rsidRDefault="00FB4407" w:rsidP="00FE1124">
      <w:pPr>
        <w:pStyle w:val="ListParagraph"/>
        <w:numPr>
          <w:ilvl w:val="0"/>
          <w:numId w:val="14"/>
        </w:numPr>
        <w:spacing w:after="120" w:line="288" w:lineRule="auto"/>
        <w:rPr>
          <w:rFonts w:cs="Arial"/>
          <w:sz w:val="22"/>
        </w:rPr>
      </w:pPr>
      <w:r w:rsidRPr="009F3F3B">
        <w:rPr>
          <w:rFonts w:cs="Arial"/>
          <w:sz w:val="22"/>
        </w:rPr>
        <w:t xml:space="preserve">This is lower performance than in 2012/13 when </w:t>
      </w:r>
      <w:r w:rsidRPr="009F3F3B">
        <w:rPr>
          <w:rFonts w:cs="Arial"/>
          <w:b/>
          <w:sz w:val="22"/>
        </w:rPr>
        <w:t>55</w:t>
      </w:r>
      <w:r w:rsidRPr="009F3F3B">
        <w:rPr>
          <w:rFonts w:cs="Arial"/>
          <w:sz w:val="22"/>
        </w:rPr>
        <w:t xml:space="preserve"> out of 100 care leavers were in education, training or employment in 2012/13.</w:t>
      </w:r>
    </w:p>
    <w:p w14:paraId="3107C7A0" w14:textId="77777777" w:rsidR="00FB4407" w:rsidRPr="009F3F3B" w:rsidRDefault="00FB4407" w:rsidP="00FE1124">
      <w:pPr>
        <w:pStyle w:val="ListParagraph"/>
        <w:numPr>
          <w:ilvl w:val="0"/>
          <w:numId w:val="14"/>
        </w:numPr>
        <w:spacing w:after="120" w:line="288" w:lineRule="auto"/>
        <w:rPr>
          <w:rFonts w:cs="Arial"/>
          <w:sz w:val="22"/>
        </w:rPr>
      </w:pPr>
      <w:r w:rsidRPr="009F3F3B">
        <w:rPr>
          <w:rFonts w:cs="Arial"/>
          <w:sz w:val="22"/>
        </w:rPr>
        <w:t xml:space="preserve">Nationally </w:t>
      </w:r>
      <w:r w:rsidR="00F73524" w:rsidRPr="009F3F3B">
        <w:rPr>
          <w:rFonts w:cs="Arial"/>
          <w:b/>
          <w:sz w:val="22"/>
        </w:rPr>
        <w:t>86</w:t>
      </w:r>
      <w:r w:rsidRPr="009F3F3B">
        <w:rPr>
          <w:rFonts w:cs="Arial"/>
          <w:sz w:val="22"/>
        </w:rPr>
        <w:t xml:space="preserve"> out of 100 young people aged 16-24 are in education, </w:t>
      </w:r>
      <w:r w:rsidR="00F73524" w:rsidRPr="009F3F3B">
        <w:rPr>
          <w:rFonts w:cs="Arial"/>
          <w:sz w:val="22"/>
        </w:rPr>
        <w:t>training or employment (Sep 2014</w:t>
      </w:r>
      <w:r w:rsidRPr="009F3F3B">
        <w:rPr>
          <w:rFonts w:cs="Arial"/>
          <w:sz w:val="22"/>
        </w:rPr>
        <w:t>)</w:t>
      </w:r>
    </w:p>
    <w:p w14:paraId="128222CA" w14:textId="14DFE6A0" w:rsidR="00FA32D2" w:rsidRPr="009F3F3B" w:rsidRDefault="009F3F3B" w:rsidP="00FE1124">
      <w:pPr>
        <w:pStyle w:val="ListParagraph"/>
        <w:numPr>
          <w:ilvl w:val="0"/>
          <w:numId w:val="14"/>
        </w:numPr>
        <w:spacing w:after="120" w:line="288" w:lineRule="auto"/>
        <w:rPr>
          <w:rFonts w:cs="Arial"/>
          <w:sz w:val="22"/>
        </w:rPr>
      </w:pPr>
      <w:r w:rsidRPr="009F3F3B">
        <w:rPr>
          <w:rFonts w:cs="Arial"/>
          <w:sz w:val="22"/>
        </w:rPr>
        <w:t>2014/15 info</w:t>
      </w:r>
      <w:r w:rsidR="00011B23" w:rsidRPr="009F3F3B">
        <w:rPr>
          <w:rFonts w:cs="Arial"/>
          <w:sz w:val="22"/>
        </w:rPr>
        <w:t xml:space="preserve"> is still provisional and</w:t>
      </w:r>
      <w:r w:rsidR="00FA32D2" w:rsidRPr="009F3F3B">
        <w:rPr>
          <w:rFonts w:cs="Arial"/>
          <w:sz w:val="22"/>
        </w:rPr>
        <w:t xml:space="preserve"> will be </w:t>
      </w:r>
      <w:r w:rsidRPr="009F3F3B">
        <w:rPr>
          <w:rFonts w:cs="Arial"/>
          <w:sz w:val="22"/>
        </w:rPr>
        <w:t xml:space="preserve">provided </w:t>
      </w:r>
      <w:r w:rsidR="00FA32D2" w:rsidRPr="009F3F3B">
        <w:rPr>
          <w:rFonts w:cs="Arial"/>
          <w:sz w:val="22"/>
        </w:rPr>
        <w:t>in the next report.</w:t>
      </w:r>
    </w:p>
    <w:p w14:paraId="257D54CF" w14:textId="77777777" w:rsidR="00FB4407" w:rsidRPr="009F3F3B" w:rsidRDefault="00FB4407" w:rsidP="00061F9B">
      <w:pPr>
        <w:spacing w:after="120" w:line="288" w:lineRule="auto"/>
        <w:rPr>
          <w:rFonts w:cs="Arial"/>
          <w:sz w:val="22"/>
        </w:rPr>
      </w:pPr>
    </w:p>
    <w:p w14:paraId="542B503B" w14:textId="77777777" w:rsidR="00FB4407" w:rsidRPr="009F3F3B" w:rsidRDefault="00FB4407" w:rsidP="00965225">
      <w:pPr>
        <w:spacing w:after="120" w:line="288" w:lineRule="auto"/>
        <w:rPr>
          <w:smallCaps/>
          <w:color w:val="C0504D"/>
          <w:u w:val="single"/>
        </w:rPr>
      </w:pPr>
      <w:r w:rsidRPr="009F3F3B">
        <w:rPr>
          <w:rStyle w:val="SubtleReference"/>
        </w:rPr>
        <w:t>Comments:</w:t>
      </w:r>
    </w:p>
    <w:p w14:paraId="1CB1C8C5" w14:textId="77777777" w:rsidR="00FB4407" w:rsidRPr="009F3F3B" w:rsidRDefault="00FB4407" w:rsidP="005E4C02">
      <w:pPr>
        <w:pStyle w:val="ListParagraph"/>
        <w:numPr>
          <w:ilvl w:val="0"/>
          <w:numId w:val="26"/>
        </w:numPr>
        <w:spacing w:before="120" w:after="120" w:line="288" w:lineRule="auto"/>
        <w:jc w:val="both"/>
        <w:rPr>
          <w:sz w:val="22"/>
        </w:rPr>
      </w:pPr>
      <w:r w:rsidRPr="009F3F3B">
        <w:rPr>
          <w:sz w:val="22"/>
        </w:rPr>
        <w:t>Performance improved slightly in 2012/13, but dipped to low performance in 2013/14.</w:t>
      </w:r>
    </w:p>
    <w:p w14:paraId="3DD157E7" w14:textId="77777777" w:rsidR="00B955B7" w:rsidRPr="009F3F3B" w:rsidRDefault="00B955B7" w:rsidP="005E4C02">
      <w:pPr>
        <w:pStyle w:val="ListParagraph"/>
        <w:numPr>
          <w:ilvl w:val="0"/>
          <w:numId w:val="26"/>
        </w:numPr>
        <w:spacing w:before="120" w:after="120" w:line="288" w:lineRule="auto"/>
        <w:jc w:val="both"/>
        <w:rPr>
          <w:sz w:val="22"/>
        </w:rPr>
      </w:pPr>
      <w:r w:rsidRPr="009F3F3B">
        <w:rPr>
          <w:sz w:val="22"/>
        </w:rPr>
        <w:t xml:space="preserve">Performance as at the end of September 2014 </w:t>
      </w:r>
      <w:r w:rsidR="000B0CC2" w:rsidRPr="009F3F3B">
        <w:rPr>
          <w:sz w:val="22"/>
        </w:rPr>
        <w:t xml:space="preserve">shows </w:t>
      </w:r>
      <w:r w:rsidR="000B0CC2" w:rsidRPr="009F3F3B">
        <w:rPr>
          <w:b/>
          <w:sz w:val="22"/>
        </w:rPr>
        <w:t xml:space="preserve">32 </w:t>
      </w:r>
      <w:r w:rsidR="000B0CC2" w:rsidRPr="009F3F3B">
        <w:rPr>
          <w:sz w:val="22"/>
        </w:rPr>
        <w:t>out of 100 care leavers were in education, training or employment on their 19</w:t>
      </w:r>
      <w:r w:rsidR="000B0CC2" w:rsidRPr="009F3F3B">
        <w:rPr>
          <w:sz w:val="22"/>
          <w:vertAlign w:val="superscript"/>
        </w:rPr>
        <w:t>th</w:t>
      </w:r>
      <w:r w:rsidR="000B0CC2" w:rsidRPr="009F3F3B">
        <w:rPr>
          <w:sz w:val="22"/>
        </w:rPr>
        <w:t xml:space="preserve"> birthday</w:t>
      </w:r>
      <w:r w:rsidRPr="009F3F3B">
        <w:rPr>
          <w:sz w:val="22"/>
        </w:rPr>
        <w:t xml:space="preserve"> which was a further drop from end of June figure of </w:t>
      </w:r>
      <w:r w:rsidR="000B0CC2" w:rsidRPr="009F3F3B">
        <w:rPr>
          <w:b/>
          <w:sz w:val="22"/>
        </w:rPr>
        <w:t xml:space="preserve">41 </w:t>
      </w:r>
      <w:r w:rsidR="000B0CC2" w:rsidRPr="009F3F3B">
        <w:rPr>
          <w:sz w:val="22"/>
        </w:rPr>
        <w:t>out of 100.</w:t>
      </w:r>
    </w:p>
    <w:p w14:paraId="23260652" w14:textId="77777777" w:rsidR="00FB4407" w:rsidRPr="009F3F3B" w:rsidRDefault="00FB4407" w:rsidP="005E4C02">
      <w:pPr>
        <w:pStyle w:val="ListParagraph"/>
        <w:numPr>
          <w:ilvl w:val="0"/>
          <w:numId w:val="26"/>
        </w:numPr>
        <w:spacing w:before="120" w:after="120" w:line="288" w:lineRule="auto"/>
        <w:jc w:val="both"/>
        <w:rPr>
          <w:sz w:val="22"/>
        </w:rPr>
      </w:pPr>
      <w:r w:rsidRPr="009F3F3B">
        <w:rPr>
          <w:sz w:val="22"/>
        </w:rPr>
        <w:t>Young people feel that this isn’t good enough and more young people should be in education or training</w:t>
      </w:r>
    </w:p>
    <w:p w14:paraId="04CD439F" w14:textId="77777777" w:rsidR="00B955B7" w:rsidRPr="009F3F3B" w:rsidRDefault="00B955B7" w:rsidP="005E4C02">
      <w:pPr>
        <w:pStyle w:val="ListParagraph"/>
        <w:numPr>
          <w:ilvl w:val="0"/>
          <w:numId w:val="26"/>
        </w:numPr>
        <w:spacing w:before="120" w:after="120" w:line="288" w:lineRule="auto"/>
        <w:jc w:val="both"/>
        <w:rPr>
          <w:sz w:val="22"/>
        </w:rPr>
      </w:pPr>
      <w:r w:rsidRPr="009F3F3B">
        <w:rPr>
          <w:sz w:val="22"/>
        </w:rPr>
        <w:t xml:space="preserve">Young people feel that individuals, due to potentially poor school grades, need more apprenticeships and volunteering schemes to be accessible. Funding could be used as an early intervention to help young people with grades in the form of extra tuition. </w:t>
      </w:r>
    </w:p>
    <w:p w14:paraId="51A7D758" w14:textId="3F93A29A" w:rsidR="00B955B7" w:rsidRPr="009F3F3B" w:rsidRDefault="00B955B7" w:rsidP="005E4C02">
      <w:pPr>
        <w:pStyle w:val="ListParagraph"/>
        <w:numPr>
          <w:ilvl w:val="0"/>
          <w:numId w:val="26"/>
        </w:numPr>
        <w:spacing w:before="120" w:after="120" w:line="288" w:lineRule="auto"/>
        <w:jc w:val="both"/>
        <w:rPr>
          <w:sz w:val="22"/>
        </w:rPr>
      </w:pPr>
      <w:r w:rsidRPr="009F3F3B">
        <w:rPr>
          <w:sz w:val="22"/>
        </w:rPr>
        <w:t xml:space="preserve">Young people feel more help could be given to help young people to find courses and employment. </w:t>
      </w:r>
      <w:r w:rsidR="00011B23" w:rsidRPr="009F3F3B">
        <w:rPr>
          <w:sz w:val="22"/>
        </w:rPr>
        <w:t xml:space="preserve">Assistance with writing CVs or developing ICT and/or skills were highlighted as key. </w:t>
      </w:r>
      <w:r w:rsidRPr="009F3F3B">
        <w:rPr>
          <w:sz w:val="22"/>
        </w:rPr>
        <w:t>Furthermore, available funds in the form of college bursaries should be more accessible as not everyone is aware of what they are entitled to financially.</w:t>
      </w:r>
    </w:p>
    <w:p w14:paraId="2EFD27BB" w14:textId="77777777" w:rsidR="00FB4407" w:rsidRPr="00335C79" w:rsidRDefault="00FB4407" w:rsidP="00177514">
      <w:pPr>
        <w:spacing w:before="120" w:after="120" w:line="288" w:lineRule="auto"/>
        <w:jc w:val="both"/>
        <w:rPr>
          <w:sz w:val="22"/>
          <w:highlight w:val="yellow"/>
        </w:rPr>
      </w:pPr>
    </w:p>
    <w:p w14:paraId="40EA05D4" w14:textId="77777777" w:rsidR="00FB4407" w:rsidRPr="009171A5" w:rsidRDefault="0011131C" w:rsidP="00A876BB">
      <w:pPr>
        <w:spacing w:after="120" w:line="288" w:lineRule="auto"/>
        <w:rPr>
          <w:rStyle w:val="IntenseReference"/>
        </w:rPr>
      </w:pPr>
      <w:r w:rsidRPr="009171A5">
        <w:rPr>
          <w:noProof/>
          <w:lang w:eastAsia="en-GB"/>
        </w:rPr>
        <w:drawing>
          <wp:anchor distT="0" distB="0" distL="114300" distR="114300" simplePos="0" relativeHeight="251650048" behindDoc="1" locked="0" layoutInCell="1" allowOverlap="1" wp14:anchorId="5A85F968" wp14:editId="60BE0117">
            <wp:simplePos x="0" y="0"/>
            <wp:positionH relativeFrom="column">
              <wp:posOffset>4761230</wp:posOffset>
            </wp:positionH>
            <wp:positionV relativeFrom="paragraph">
              <wp:posOffset>122555</wp:posOffset>
            </wp:positionV>
            <wp:extent cx="1104900" cy="1104900"/>
            <wp:effectExtent l="0" t="0" r="0" b="0"/>
            <wp:wrapTight wrapText="bothSides">
              <wp:wrapPolygon edited="0">
                <wp:start x="9683" y="0"/>
                <wp:lineTo x="0" y="1862"/>
                <wp:lineTo x="0" y="3724"/>
                <wp:lineTo x="1490" y="6331"/>
                <wp:lineTo x="1490" y="7076"/>
                <wp:lineTo x="6331" y="12290"/>
                <wp:lineTo x="6703" y="18621"/>
                <wp:lineTo x="9310" y="20483"/>
                <wp:lineTo x="11172" y="20483"/>
                <wp:lineTo x="21228" y="18248"/>
                <wp:lineTo x="21228" y="17503"/>
                <wp:lineTo x="18248" y="12290"/>
                <wp:lineTo x="19366" y="7448"/>
                <wp:lineTo x="20855" y="5959"/>
                <wp:lineTo x="19738" y="4841"/>
                <wp:lineTo x="12662" y="0"/>
                <wp:lineTo x="9683" y="0"/>
              </wp:wrapPolygon>
            </wp:wrapTight>
            <wp:docPr id="10" name="Picture 2" descr="mortar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tarboard.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pic:spPr>
                </pic:pic>
              </a:graphicData>
            </a:graphic>
            <wp14:sizeRelH relativeFrom="page">
              <wp14:pctWidth>0</wp14:pctWidth>
            </wp14:sizeRelH>
            <wp14:sizeRelV relativeFrom="page">
              <wp14:pctHeight>0</wp14:pctHeight>
            </wp14:sizeRelV>
          </wp:anchor>
        </w:drawing>
      </w:r>
      <w:r w:rsidR="00FB4407" w:rsidRPr="009171A5">
        <w:rPr>
          <w:rStyle w:val="IntenseReference"/>
        </w:rPr>
        <w:t>Care leavers at University</w:t>
      </w:r>
    </w:p>
    <w:p w14:paraId="6CEE6822" w14:textId="77777777" w:rsidR="00FB4407" w:rsidRPr="009171A5" w:rsidRDefault="00FB4407" w:rsidP="00F327C5">
      <w:pPr>
        <w:pStyle w:val="ListParagraph"/>
        <w:numPr>
          <w:ilvl w:val="0"/>
          <w:numId w:val="12"/>
        </w:numPr>
        <w:spacing w:before="120" w:after="120" w:line="288" w:lineRule="auto"/>
        <w:jc w:val="both"/>
        <w:rPr>
          <w:sz w:val="22"/>
        </w:rPr>
      </w:pPr>
      <w:r w:rsidRPr="009171A5">
        <w:rPr>
          <w:sz w:val="22"/>
        </w:rPr>
        <w:t>In 2011/12 there were 25 care leavers at university</w:t>
      </w:r>
    </w:p>
    <w:p w14:paraId="111DE38E" w14:textId="77777777" w:rsidR="00FB4407" w:rsidRPr="009171A5" w:rsidRDefault="00FB4407" w:rsidP="00F327C5">
      <w:pPr>
        <w:pStyle w:val="ListParagraph"/>
        <w:numPr>
          <w:ilvl w:val="0"/>
          <w:numId w:val="12"/>
        </w:numPr>
        <w:spacing w:before="120" w:after="120" w:line="288" w:lineRule="auto"/>
        <w:jc w:val="both"/>
        <w:rPr>
          <w:sz w:val="22"/>
        </w:rPr>
      </w:pPr>
      <w:r w:rsidRPr="009171A5">
        <w:rPr>
          <w:sz w:val="22"/>
        </w:rPr>
        <w:t>In 2012/13 there were a record 37 care leavers studying at university around the country, including 22 first year students. There were 7 graduates in 2012/13.</w:t>
      </w:r>
    </w:p>
    <w:p w14:paraId="42AF7429" w14:textId="77777777" w:rsidR="003D500B" w:rsidRPr="009171A5" w:rsidRDefault="003D500B" w:rsidP="003D500B">
      <w:pPr>
        <w:pStyle w:val="ListParagraph"/>
        <w:numPr>
          <w:ilvl w:val="0"/>
          <w:numId w:val="12"/>
        </w:numPr>
        <w:spacing w:before="120" w:after="120" w:line="288" w:lineRule="auto"/>
        <w:jc w:val="both"/>
        <w:rPr>
          <w:sz w:val="22"/>
        </w:rPr>
      </w:pPr>
      <w:r w:rsidRPr="009171A5">
        <w:rPr>
          <w:sz w:val="22"/>
        </w:rPr>
        <w:t>Of these 22 first year students; 15 progressed to the second year, 1 completed with a one year foundation degree, 2 returned to repeat the first year, and 4 left their course.</w:t>
      </w:r>
    </w:p>
    <w:p w14:paraId="60081DDD" w14:textId="77777777" w:rsidR="00FB4407" w:rsidRPr="009171A5" w:rsidRDefault="003D500B" w:rsidP="00B529B2">
      <w:pPr>
        <w:pStyle w:val="ListParagraph"/>
        <w:numPr>
          <w:ilvl w:val="0"/>
          <w:numId w:val="12"/>
        </w:numPr>
        <w:spacing w:before="120" w:after="120" w:line="288" w:lineRule="auto"/>
        <w:jc w:val="both"/>
        <w:rPr>
          <w:sz w:val="22"/>
        </w:rPr>
      </w:pPr>
      <w:r w:rsidRPr="009171A5">
        <w:rPr>
          <w:sz w:val="22"/>
        </w:rPr>
        <w:t>In 2013/14 there we</w:t>
      </w:r>
      <w:r w:rsidR="00FB4407" w:rsidRPr="009171A5">
        <w:rPr>
          <w:sz w:val="22"/>
        </w:rPr>
        <w:t>re 36 care leavers studying at university including 13 first year students.</w:t>
      </w:r>
    </w:p>
    <w:p w14:paraId="326E8060" w14:textId="77777777" w:rsidR="00B426EB" w:rsidRPr="009171A5" w:rsidRDefault="00B426EB" w:rsidP="00B529B2">
      <w:pPr>
        <w:pStyle w:val="ListParagraph"/>
        <w:numPr>
          <w:ilvl w:val="0"/>
          <w:numId w:val="12"/>
        </w:numPr>
        <w:spacing w:before="120" w:after="120" w:line="288" w:lineRule="auto"/>
        <w:jc w:val="both"/>
        <w:rPr>
          <w:sz w:val="22"/>
        </w:rPr>
      </w:pPr>
      <w:r w:rsidRPr="009171A5">
        <w:rPr>
          <w:sz w:val="22"/>
        </w:rPr>
        <w:t>In 2014/15 there are 4</w:t>
      </w:r>
      <w:r w:rsidR="00722AAB" w:rsidRPr="009171A5">
        <w:rPr>
          <w:sz w:val="22"/>
        </w:rPr>
        <w:t>0</w:t>
      </w:r>
      <w:r w:rsidRPr="009171A5">
        <w:rPr>
          <w:sz w:val="22"/>
        </w:rPr>
        <w:t xml:space="preserve"> care leavers studying at university, including </w:t>
      </w:r>
      <w:r w:rsidR="00722AAB" w:rsidRPr="009171A5">
        <w:rPr>
          <w:sz w:val="22"/>
        </w:rPr>
        <w:t>10</w:t>
      </w:r>
      <w:r w:rsidRPr="009171A5">
        <w:rPr>
          <w:sz w:val="22"/>
        </w:rPr>
        <w:t xml:space="preserve"> first year students.</w:t>
      </w:r>
    </w:p>
    <w:p w14:paraId="543FBB97" w14:textId="3D9989C7" w:rsidR="00722AAB" w:rsidRPr="009171A5" w:rsidRDefault="00722AAB" w:rsidP="00B529B2">
      <w:pPr>
        <w:pStyle w:val="ListParagraph"/>
        <w:numPr>
          <w:ilvl w:val="0"/>
          <w:numId w:val="12"/>
        </w:numPr>
        <w:spacing w:before="120" w:after="120" w:line="288" w:lineRule="auto"/>
        <w:jc w:val="both"/>
        <w:rPr>
          <w:sz w:val="22"/>
        </w:rPr>
      </w:pPr>
      <w:r w:rsidRPr="009171A5">
        <w:rPr>
          <w:sz w:val="22"/>
        </w:rPr>
        <w:t xml:space="preserve">3 care leavers </w:t>
      </w:r>
      <w:r w:rsidR="009171A5" w:rsidRPr="009171A5">
        <w:rPr>
          <w:sz w:val="22"/>
        </w:rPr>
        <w:t>retook</w:t>
      </w:r>
      <w:r w:rsidRPr="009171A5">
        <w:rPr>
          <w:sz w:val="22"/>
        </w:rPr>
        <w:t xml:space="preserve"> a year in 2014/15.</w:t>
      </w:r>
    </w:p>
    <w:p w14:paraId="1DD1B20F" w14:textId="77777777" w:rsidR="00011B23" w:rsidRPr="009171A5" w:rsidRDefault="00011B23" w:rsidP="00011B23">
      <w:pPr>
        <w:pStyle w:val="ListParagraph"/>
        <w:spacing w:before="120" w:after="120" w:line="288" w:lineRule="auto"/>
        <w:ind w:left="360"/>
        <w:jc w:val="both"/>
        <w:rPr>
          <w:sz w:val="22"/>
        </w:rPr>
      </w:pPr>
    </w:p>
    <w:p w14:paraId="2C0C6C18" w14:textId="77777777" w:rsidR="00FB4407" w:rsidRPr="009171A5" w:rsidRDefault="00FB4407" w:rsidP="00830E7B">
      <w:pPr>
        <w:spacing w:after="120" w:line="288" w:lineRule="auto"/>
        <w:rPr>
          <w:rStyle w:val="SubtleReference"/>
        </w:rPr>
      </w:pPr>
      <w:r w:rsidRPr="009171A5">
        <w:rPr>
          <w:rStyle w:val="SubtleReference"/>
        </w:rPr>
        <w:t>Comments:</w:t>
      </w:r>
    </w:p>
    <w:p w14:paraId="739B9F32" w14:textId="77777777" w:rsidR="00FB4407" w:rsidRPr="009171A5" w:rsidRDefault="00FB4407" w:rsidP="00830E7B">
      <w:pPr>
        <w:pStyle w:val="ListParagraph"/>
        <w:numPr>
          <w:ilvl w:val="0"/>
          <w:numId w:val="26"/>
        </w:numPr>
        <w:spacing w:before="120" w:after="120" w:line="288" w:lineRule="auto"/>
        <w:jc w:val="both"/>
        <w:rPr>
          <w:sz w:val="22"/>
        </w:rPr>
      </w:pPr>
      <w:r w:rsidRPr="009171A5">
        <w:rPr>
          <w:sz w:val="22"/>
        </w:rPr>
        <w:t>There is a good level of Care Leavers at U</w:t>
      </w:r>
      <w:r w:rsidR="003D500B" w:rsidRPr="009171A5">
        <w:rPr>
          <w:sz w:val="22"/>
        </w:rPr>
        <w:t>niversity in each of the last three</w:t>
      </w:r>
      <w:r w:rsidRPr="009171A5">
        <w:rPr>
          <w:sz w:val="22"/>
        </w:rPr>
        <w:t xml:space="preserve"> years showing that Leaving Care support is there for potential students.</w:t>
      </w:r>
    </w:p>
    <w:p w14:paraId="34373022" w14:textId="77777777" w:rsidR="00FB4407" w:rsidRPr="009171A5" w:rsidRDefault="00FB4407" w:rsidP="00830E7B">
      <w:pPr>
        <w:pStyle w:val="ListParagraph"/>
        <w:numPr>
          <w:ilvl w:val="0"/>
          <w:numId w:val="26"/>
        </w:numPr>
        <w:spacing w:before="120" w:after="120" w:line="288" w:lineRule="auto"/>
        <w:jc w:val="both"/>
        <w:rPr>
          <w:sz w:val="22"/>
        </w:rPr>
      </w:pPr>
      <w:r w:rsidRPr="009171A5">
        <w:rPr>
          <w:sz w:val="22"/>
        </w:rPr>
        <w:lastRenderedPageBreak/>
        <w:t xml:space="preserve">However there it is concerning that </w:t>
      </w:r>
      <w:r w:rsidRPr="009171A5">
        <w:rPr>
          <w:b/>
          <w:sz w:val="22"/>
        </w:rPr>
        <w:t>2</w:t>
      </w:r>
      <w:r w:rsidRPr="009171A5">
        <w:rPr>
          <w:sz w:val="22"/>
        </w:rPr>
        <w:t xml:space="preserve"> in 10 first year students dropped out of university, and a further </w:t>
      </w:r>
      <w:r w:rsidRPr="009171A5">
        <w:rPr>
          <w:b/>
          <w:sz w:val="22"/>
        </w:rPr>
        <w:t>1</w:t>
      </w:r>
      <w:r w:rsidRPr="009171A5">
        <w:rPr>
          <w:sz w:val="22"/>
        </w:rPr>
        <w:t xml:space="preserve"> in 10 repeated their first year. The decision to study at University must be an appropriate choice for the applicant and suitable students need to be well supported.</w:t>
      </w:r>
    </w:p>
    <w:p w14:paraId="443E62A4" w14:textId="77777777" w:rsidR="00FB4407" w:rsidRPr="009171A5" w:rsidRDefault="00FB4407" w:rsidP="00EE0DEA">
      <w:pPr>
        <w:pStyle w:val="ListParagraph"/>
        <w:numPr>
          <w:ilvl w:val="0"/>
          <w:numId w:val="26"/>
        </w:numPr>
        <w:spacing w:before="120" w:after="120" w:line="288" w:lineRule="auto"/>
        <w:jc w:val="both"/>
        <w:rPr>
          <w:sz w:val="22"/>
        </w:rPr>
      </w:pPr>
      <w:r w:rsidRPr="009171A5">
        <w:rPr>
          <w:sz w:val="22"/>
        </w:rPr>
        <w:t>Young people feel that these figures show good progress, but there should be many more care leavers going to university.</w:t>
      </w:r>
    </w:p>
    <w:p w14:paraId="10A8A133" w14:textId="79469C8E" w:rsidR="00011B23" w:rsidRPr="009171A5" w:rsidRDefault="00011B23" w:rsidP="00EE0DEA">
      <w:pPr>
        <w:pStyle w:val="ListParagraph"/>
        <w:numPr>
          <w:ilvl w:val="0"/>
          <w:numId w:val="26"/>
        </w:numPr>
        <w:spacing w:before="120" w:after="120" w:line="288" w:lineRule="auto"/>
        <w:jc w:val="both"/>
        <w:rPr>
          <w:sz w:val="22"/>
        </w:rPr>
      </w:pPr>
      <w:r w:rsidRPr="009171A5">
        <w:rPr>
          <w:sz w:val="22"/>
        </w:rPr>
        <w:t>Young people feel that out of term accommodation needs to be more readily available as has been cited as a contributing factor in a young person's decision not to attend higher education.</w:t>
      </w:r>
    </w:p>
    <w:p w14:paraId="285B02B3" w14:textId="590EB4CE" w:rsidR="000B0CC2" w:rsidRPr="009171A5" w:rsidRDefault="000B0CC2" w:rsidP="00EE0DEA">
      <w:pPr>
        <w:pStyle w:val="ListParagraph"/>
        <w:numPr>
          <w:ilvl w:val="0"/>
          <w:numId w:val="26"/>
        </w:numPr>
        <w:spacing w:before="120" w:after="120" w:line="288" w:lineRule="auto"/>
        <w:jc w:val="both"/>
        <w:rPr>
          <w:sz w:val="22"/>
        </w:rPr>
      </w:pPr>
      <w:r w:rsidRPr="009171A5">
        <w:rPr>
          <w:sz w:val="22"/>
        </w:rPr>
        <w:t>Young people believe other CLA are not aware of the support and funding available to them. The extra provisions that are available could support more young people through university.</w:t>
      </w:r>
      <w:r w:rsidR="00443759" w:rsidRPr="009171A5">
        <w:rPr>
          <w:sz w:val="22"/>
        </w:rPr>
        <w:t xml:space="preserve"> Support awareness has been spreading, but more could be done at a younger age to give young people the required information to inform their decision to attend higher education at an earlier stage.</w:t>
      </w:r>
    </w:p>
    <w:p w14:paraId="46834DB1" w14:textId="77777777" w:rsidR="009062EF" w:rsidRPr="009171A5" w:rsidRDefault="009062EF" w:rsidP="009062EF">
      <w:pPr>
        <w:pStyle w:val="ListParagraph"/>
        <w:numPr>
          <w:ilvl w:val="0"/>
          <w:numId w:val="26"/>
        </w:numPr>
        <w:spacing w:before="120" w:after="120" w:line="288" w:lineRule="auto"/>
        <w:jc w:val="both"/>
        <w:rPr>
          <w:sz w:val="22"/>
        </w:rPr>
      </w:pPr>
      <w:r w:rsidRPr="009171A5">
        <w:rPr>
          <w:sz w:val="22"/>
        </w:rPr>
        <w:t>Currently, the staying put policy a</w:t>
      </w:r>
      <w:r w:rsidR="00977890" w:rsidRPr="009171A5">
        <w:rPr>
          <w:sz w:val="22"/>
        </w:rPr>
        <w:t xml:space="preserve">pplies to Lancashire "in-house" </w:t>
      </w:r>
      <w:r w:rsidRPr="009171A5">
        <w:rPr>
          <w:sz w:val="22"/>
        </w:rPr>
        <w:t>foster carers but discussion</w:t>
      </w:r>
      <w:r w:rsidR="004D57D8" w:rsidRPr="009171A5">
        <w:rPr>
          <w:sz w:val="22"/>
        </w:rPr>
        <w:t>s</w:t>
      </w:r>
      <w:r w:rsidRPr="009171A5">
        <w:rPr>
          <w:sz w:val="22"/>
        </w:rPr>
        <w:t xml:space="preserve"> are encouraged to occur surrounding those looked after children placed with independent fostering agencies regarding the possibility of staying put.</w:t>
      </w:r>
    </w:p>
    <w:p w14:paraId="36484FC6" w14:textId="77777777" w:rsidR="004B00FD" w:rsidRPr="009171A5" w:rsidRDefault="000B0CC2" w:rsidP="004B00FD">
      <w:pPr>
        <w:pStyle w:val="ListParagraph"/>
        <w:numPr>
          <w:ilvl w:val="0"/>
          <w:numId w:val="26"/>
        </w:numPr>
        <w:spacing w:before="120" w:after="120" w:line="288" w:lineRule="auto"/>
        <w:jc w:val="both"/>
        <w:rPr>
          <w:sz w:val="22"/>
        </w:rPr>
      </w:pPr>
      <w:r w:rsidRPr="009171A5">
        <w:rPr>
          <w:sz w:val="22"/>
        </w:rPr>
        <w:t>Young people also suggested that leaving care and starting university occurs at the same time and this can be a stressful time for the young people involved. Individuals may also be put off the idea of attending university as they may be worried about not having anywhere to live during the holidays.</w:t>
      </w:r>
    </w:p>
    <w:p w14:paraId="0F293BEB" w14:textId="77777777" w:rsidR="000B0CC2" w:rsidRPr="009171A5" w:rsidRDefault="000B0CC2" w:rsidP="004B00FD">
      <w:pPr>
        <w:pStyle w:val="ListParagraph"/>
        <w:numPr>
          <w:ilvl w:val="0"/>
          <w:numId w:val="26"/>
        </w:numPr>
        <w:spacing w:before="120" w:after="120" w:line="288" w:lineRule="auto"/>
        <w:jc w:val="both"/>
        <w:rPr>
          <w:sz w:val="22"/>
        </w:rPr>
      </w:pPr>
      <w:r w:rsidRPr="009171A5">
        <w:rPr>
          <w:sz w:val="22"/>
        </w:rPr>
        <w:t>Information for those attending university in 2014</w:t>
      </w:r>
      <w:r w:rsidR="00234628" w:rsidRPr="009171A5">
        <w:rPr>
          <w:sz w:val="22"/>
        </w:rPr>
        <w:t>/15 is provisional and is subject to change.</w:t>
      </w:r>
    </w:p>
    <w:sectPr w:rsidR="000B0CC2" w:rsidRPr="009171A5" w:rsidSect="00CE506A">
      <w:footerReference w:type="default" r:id="rId21"/>
      <w:pgSz w:w="11906" w:h="16838"/>
      <w:pgMar w:top="1304" w:right="1247" w:bottom="1247" w:left="1247" w:header="709" w:footer="5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91E14" w14:textId="77777777" w:rsidR="00716699" w:rsidRDefault="00716699" w:rsidP="00F37730">
      <w:pPr>
        <w:spacing w:after="0" w:line="240" w:lineRule="auto"/>
      </w:pPr>
      <w:r>
        <w:separator/>
      </w:r>
    </w:p>
  </w:endnote>
  <w:endnote w:type="continuationSeparator" w:id="0">
    <w:p w14:paraId="65BDFD4E" w14:textId="77777777" w:rsidR="00716699" w:rsidRDefault="00716699" w:rsidP="00F37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A4255" w14:textId="77777777" w:rsidR="00AB7B6B" w:rsidRDefault="00AB7B6B">
    <w:pPr>
      <w:pStyle w:val="Footer"/>
      <w:rPr>
        <w:sz w:val="20"/>
        <w:szCs w:val="20"/>
      </w:rPr>
    </w:pPr>
    <w:r w:rsidRPr="00F37730">
      <w:rPr>
        <w:sz w:val="20"/>
        <w:szCs w:val="20"/>
      </w:rPr>
      <w:t xml:space="preserve">Report produced by </w:t>
    </w:r>
    <w:r>
      <w:rPr>
        <w:sz w:val="20"/>
        <w:szCs w:val="20"/>
      </w:rPr>
      <w:t>Safeguarding, Inspection &amp; Audit Team</w:t>
    </w:r>
    <w:r w:rsidRPr="00F37730">
      <w:rPr>
        <w:sz w:val="20"/>
        <w:szCs w:val="20"/>
      </w:rPr>
      <w:tab/>
    </w:r>
    <w:r w:rsidRPr="00F37730">
      <w:rPr>
        <w:sz w:val="20"/>
        <w:szCs w:val="20"/>
      </w:rPr>
      <w:fldChar w:fldCharType="begin"/>
    </w:r>
    <w:r w:rsidRPr="00F37730">
      <w:rPr>
        <w:sz w:val="20"/>
        <w:szCs w:val="20"/>
      </w:rPr>
      <w:instrText xml:space="preserve"> PAGE   \* MERGEFORMAT </w:instrText>
    </w:r>
    <w:r w:rsidRPr="00F37730">
      <w:rPr>
        <w:sz w:val="20"/>
        <w:szCs w:val="20"/>
      </w:rPr>
      <w:fldChar w:fldCharType="separate"/>
    </w:r>
    <w:r w:rsidR="009F3F3B">
      <w:rPr>
        <w:noProof/>
        <w:sz w:val="20"/>
        <w:szCs w:val="20"/>
      </w:rPr>
      <w:t>11</w:t>
    </w:r>
    <w:r w:rsidRPr="00F37730">
      <w:rPr>
        <w:sz w:val="20"/>
        <w:szCs w:val="20"/>
      </w:rPr>
      <w:fldChar w:fldCharType="end"/>
    </w:r>
  </w:p>
  <w:p w14:paraId="100F62B7" w14:textId="2C0A7BCD" w:rsidR="00AB7B6B" w:rsidRPr="00F37730" w:rsidRDefault="009F3F3B">
    <w:pPr>
      <w:pStyle w:val="Footer"/>
      <w:rPr>
        <w:sz w:val="20"/>
        <w:szCs w:val="20"/>
      </w:rPr>
    </w:pPr>
    <w:r>
      <w:rPr>
        <w:sz w:val="20"/>
        <w:szCs w:val="20"/>
      </w:rPr>
      <w:t>September</w:t>
    </w:r>
    <w:r w:rsidR="00AB7B6B">
      <w:rPr>
        <w:sz w:val="20"/>
        <w:szCs w:val="20"/>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173DE" w14:textId="77777777" w:rsidR="00716699" w:rsidRDefault="00716699" w:rsidP="00F37730">
      <w:pPr>
        <w:spacing w:after="0" w:line="240" w:lineRule="auto"/>
      </w:pPr>
      <w:r>
        <w:separator/>
      </w:r>
    </w:p>
  </w:footnote>
  <w:footnote w:type="continuationSeparator" w:id="0">
    <w:p w14:paraId="2F0A9056" w14:textId="77777777" w:rsidR="00716699" w:rsidRDefault="00716699" w:rsidP="00F377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0C4B"/>
    <w:multiLevelType w:val="hybridMultilevel"/>
    <w:tmpl w:val="9AC87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FB59B0"/>
    <w:multiLevelType w:val="hybridMultilevel"/>
    <w:tmpl w:val="0E227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D0D40"/>
    <w:multiLevelType w:val="hybridMultilevel"/>
    <w:tmpl w:val="E606F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6F2E3D"/>
    <w:multiLevelType w:val="hybridMultilevel"/>
    <w:tmpl w:val="1B8AF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FB1278"/>
    <w:multiLevelType w:val="hybridMultilevel"/>
    <w:tmpl w:val="962C9E0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82FF0"/>
    <w:multiLevelType w:val="hybridMultilevel"/>
    <w:tmpl w:val="93EC6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CA2CFD"/>
    <w:multiLevelType w:val="hybridMultilevel"/>
    <w:tmpl w:val="64D22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03416D"/>
    <w:multiLevelType w:val="hybridMultilevel"/>
    <w:tmpl w:val="4B54598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5C1129"/>
    <w:multiLevelType w:val="hybridMultilevel"/>
    <w:tmpl w:val="28A0E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321A3A"/>
    <w:multiLevelType w:val="hybridMultilevel"/>
    <w:tmpl w:val="9CEC7656"/>
    <w:lvl w:ilvl="0" w:tplc="BBB0E5DA">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E55884"/>
    <w:multiLevelType w:val="hybridMultilevel"/>
    <w:tmpl w:val="00F4F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A765BE"/>
    <w:multiLevelType w:val="hybridMultilevel"/>
    <w:tmpl w:val="7102C4E0"/>
    <w:lvl w:ilvl="0" w:tplc="63FE772E">
      <w:start w:val="1"/>
      <w:numFmt w:val="bullet"/>
      <w:lvlText w:val=""/>
      <w:lvlJc w:val="left"/>
      <w:pPr>
        <w:ind w:left="720" w:hanging="360"/>
      </w:pPr>
      <w:rPr>
        <w:rFonts w:ascii="Wingdings" w:hAnsi="Wingdings" w:hint="default"/>
        <w:color w:val="auto"/>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6568E7"/>
    <w:multiLevelType w:val="hybridMultilevel"/>
    <w:tmpl w:val="5D641A1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AA497D"/>
    <w:multiLevelType w:val="hybridMultilevel"/>
    <w:tmpl w:val="057CB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F33BF6"/>
    <w:multiLevelType w:val="hybridMultilevel"/>
    <w:tmpl w:val="1C2897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1671A1"/>
    <w:multiLevelType w:val="hybridMultilevel"/>
    <w:tmpl w:val="F7704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9C7CCD"/>
    <w:multiLevelType w:val="hybridMultilevel"/>
    <w:tmpl w:val="0C2E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F0308E"/>
    <w:multiLevelType w:val="hybridMultilevel"/>
    <w:tmpl w:val="EC80B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54033C"/>
    <w:multiLevelType w:val="hybridMultilevel"/>
    <w:tmpl w:val="82A44F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092A58"/>
    <w:multiLevelType w:val="hybridMultilevel"/>
    <w:tmpl w:val="71683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D22989"/>
    <w:multiLevelType w:val="hybridMultilevel"/>
    <w:tmpl w:val="3C10A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4E1D80"/>
    <w:multiLevelType w:val="hybridMultilevel"/>
    <w:tmpl w:val="B82CFB4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BF73A0"/>
    <w:multiLevelType w:val="hybridMultilevel"/>
    <w:tmpl w:val="0E52B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CA6A7A"/>
    <w:multiLevelType w:val="hybridMultilevel"/>
    <w:tmpl w:val="54B29C6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C73324"/>
    <w:multiLevelType w:val="hybridMultilevel"/>
    <w:tmpl w:val="37647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D71A40"/>
    <w:multiLevelType w:val="hybridMultilevel"/>
    <w:tmpl w:val="751E91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B54164"/>
    <w:multiLevelType w:val="hybridMultilevel"/>
    <w:tmpl w:val="CAC44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B31720"/>
    <w:multiLevelType w:val="hybridMultilevel"/>
    <w:tmpl w:val="C6261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8E85BD3"/>
    <w:multiLevelType w:val="hybridMultilevel"/>
    <w:tmpl w:val="D92C12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8C363C"/>
    <w:multiLevelType w:val="hybridMultilevel"/>
    <w:tmpl w:val="C20E23D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B17376"/>
    <w:multiLevelType w:val="hybridMultilevel"/>
    <w:tmpl w:val="7F5ECB4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522F66"/>
    <w:multiLevelType w:val="hybridMultilevel"/>
    <w:tmpl w:val="30988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9"/>
  </w:num>
  <w:num w:numId="4">
    <w:abstractNumId w:val="27"/>
  </w:num>
  <w:num w:numId="5">
    <w:abstractNumId w:val="6"/>
  </w:num>
  <w:num w:numId="6">
    <w:abstractNumId w:val="0"/>
  </w:num>
  <w:num w:numId="7">
    <w:abstractNumId w:val="10"/>
  </w:num>
  <w:num w:numId="8">
    <w:abstractNumId w:val="22"/>
  </w:num>
  <w:num w:numId="9">
    <w:abstractNumId w:val="8"/>
  </w:num>
  <w:num w:numId="10">
    <w:abstractNumId w:val="26"/>
  </w:num>
  <w:num w:numId="11">
    <w:abstractNumId w:val="2"/>
  </w:num>
  <w:num w:numId="12">
    <w:abstractNumId w:val="5"/>
  </w:num>
  <w:num w:numId="13">
    <w:abstractNumId w:val="20"/>
  </w:num>
  <w:num w:numId="14">
    <w:abstractNumId w:val="18"/>
  </w:num>
  <w:num w:numId="15">
    <w:abstractNumId w:val="17"/>
  </w:num>
  <w:num w:numId="16">
    <w:abstractNumId w:val="24"/>
  </w:num>
  <w:num w:numId="17">
    <w:abstractNumId w:val="3"/>
  </w:num>
  <w:num w:numId="18">
    <w:abstractNumId w:val="30"/>
  </w:num>
  <w:num w:numId="19">
    <w:abstractNumId w:val="4"/>
  </w:num>
  <w:num w:numId="20">
    <w:abstractNumId w:val="14"/>
  </w:num>
  <w:num w:numId="21">
    <w:abstractNumId w:val="21"/>
  </w:num>
  <w:num w:numId="22">
    <w:abstractNumId w:val="29"/>
  </w:num>
  <w:num w:numId="23">
    <w:abstractNumId w:val="7"/>
  </w:num>
  <w:num w:numId="24">
    <w:abstractNumId w:val="25"/>
  </w:num>
  <w:num w:numId="25">
    <w:abstractNumId w:val="28"/>
  </w:num>
  <w:num w:numId="26">
    <w:abstractNumId w:val="12"/>
  </w:num>
  <w:num w:numId="27">
    <w:abstractNumId w:val="1"/>
  </w:num>
  <w:num w:numId="28">
    <w:abstractNumId w:val="23"/>
  </w:num>
  <w:num w:numId="29">
    <w:abstractNumId w:val="11"/>
  </w:num>
  <w:num w:numId="30">
    <w:abstractNumId w:val="9"/>
  </w:num>
  <w:num w:numId="31">
    <w:abstractNumId w:val="3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09A"/>
    <w:rsid w:val="00000C13"/>
    <w:rsid w:val="00001A22"/>
    <w:rsid w:val="00007900"/>
    <w:rsid w:val="00011B23"/>
    <w:rsid w:val="000200E7"/>
    <w:rsid w:val="0002485A"/>
    <w:rsid w:val="0002517C"/>
    <w:rsid w:val="0003104D"/>
    <w:rsid w:val="0003224C"/>
    <w:rsid w:val="00040385"/>
    <w:rsid w:val="000421C2"/>
    <w:rsid w:val="0004538B"/>
    <w:rsid w:val="00047BA3"/>
    <w:rsid w:val="00054CD9"/>
    <w:rsid w:val="00061F9B"/>
    <w:rsid w:val="00062655"/>
    <w:rsid w:val="0007451B"/>
    <w:rsid w:val="00077C18"/>
    <w:rsid w:val="00080AE9"/>
    <w:rsid w:val="000869CA"/>
    <w:rsid w:val="000A00EC"/>
    <w:rsid w:val="000A1EEE"/>
    <w:rsid w:val="000B0CC2"/>
    <w:rsid w:val="000B5FC6"/>
    <w:rsid w:val="000C2D8B"/>
    <w:rsid w:val="000C5EE1"/>
    <w:rsid w:val="000C7267"/>
    <w:rsid w:val="000D0DFF"/>
    <w:rsid w:val="000D1A9A"/>
    <w:rsid w:val="000D2560"/>
    <w:rsid w:val="000F0469"/>
    <w:rsid w:val="000F5653"/>
    <w:rsid w:val="000F597C"/>
    <w:rsid w:val="000F5BF6"/>
    <w:rsid w:val="00102ECE"/>
    <w:rsid w:val="00104E76"/>
    <w:rsid w:val="0011131C"/>
    <w:rsid w:val="00112F70"/>
    <w:rsid w:val="00113AD9"/>
    <w:rsid w:val="0011628F"/>
    <w:rsid w:val="001263E8"/>
    <w:rsid w:val="0012754F"/>
    <w:rsid w:val="00141A9E"/>
    <w:rsid w:val="00146C71"/>
    <w:rsid w:val="00150168"/>
    <w:rsid w:val="001543EA"/>
    <w:rsid w:val="001614FD"/>
    <w:rsid w:val="00170994"/>
    <w:rsid w:val="00170F3A"/>
    <w:rsid w:val="00177514"/>
    <w:rsid w:val="0019300D"/>
    <w:rsid w:val="00193D3C"/>
    <w:rsid w:val="001A1EB7"/>
    <w:rsid w:val="001A345E"/>
    <w:rsid w:val="001B0F32"/>
    <w:rsid w:val="001C6930"/>
    <w:rsid w:val="001D18A9"/>
    <w:rsid w:val="001D1A01"/>
    <w:rsid w:val="001D772A"/>
    <w:rsid w:val="001E776E"/>
    <w:rsid w:val="001F4A6D"/>
    <w:rsid w:val="00205F3D"/>
    <w:rsid w:val="00206482"/>
    <w:rsid w:val="002112C3"/>
    <w:rsid w:val="00212129"/>
    <w:rsid w:val="00214136"/>
    <w:rsid w:val="0021451D"/>
    <w:rsid w:val="002167B2"/>
    <w:rsid w:val="00223F27"/>
    <w:rsid w:val="0023197F"/>
    <w:rsid w:val="0023201A"/>
    <w:rsid w:val="00232352"/>
    <w:rsid w:val="00234628"/>
    <w:rsid w:val="00265F18"/>
    <w:rsid w:val="00266D75"/>
    <w:rsid w:val="002A3CB0"/>
    <w:rsid w:val="002B0EB1"/>
    <w:rsid w:val="002C32F0"/>
    <w:rsid w:val="002C7DB8"/>
    <w:rsid w:val="002D357F"/>
    <w:rsid w:val="002E0253"/>
    <w:rsid w:val="002E18BD"/>
    <w:rsid w:val="002E6AA4"/>
    <w:rsid w:val="002F5C47"/>
    <w:rsid w:val="003021B2"/>
    <w:rsid w:val="003056EF"/>
    <w:rsid w:val="00307F37"/>
    <w:rsid w:val="00317606"/>
    <w:rsid w:val="00321A5B"/>
    <w:rsid w:val="00326EB5"/>
    <w:rsid w:val="00326F2C"/>
    <w:rsid w:val="00335C79"/>
    <w:rsid w:val="00342C21"/>
    <w:rsid w:val="00343370"/>
    <w:rsid w:val="00346C3A"/>
    <w:rsid w:val="00347CF9"/>
    <w:rsid w:val="00352C19"/>
    <w:rsid w:val="003545C3"/>
    <w:rsid w:val="00360678"/>
    <w:rsid w:val="0036184A"/>
    <w:rsid w:val="00385DFB"/>
    <w:rsid w:val="0039094C"/>
    <w:rsid w:val="003A5C3B"/>
    <w:rsid w:val="003A6592"/>
    <w:rsid w:val="003B09E1"/>
    <w:rsid w:val="003B7D95"/>
    <w:rsid w:val="003C03D0"/>
    <w:rsid w:val="003C0604"/>
    <w:rsid w:val="003C0E7D"/>
    <w:rsid w:val="003C445C"/>
    <w:rsid w:val="003C7E51"/>
    <w:rsid w:val="003D0824"/>
    <w:rsid w:val="003D08EF"/>
    <w:rsid w:val="003D1A45"/>
    <w:rsid w:val="003D231A"/>
    <w:rsid w:val="003D500B"/>
    <w:rsid w:val="003D7EB3"/>
    <w:rsid w:val="003E5F23"/>
    <w:rsid w:val="003E63FC"/>
    <w:rsid w:val="003F3D53"/>
    <w:rsid w:val="003F4911"/>
    <w:rsid w:val="00402DE2"/>
    <w:rsid w:val="00405C41"/>
    <w:rsid w:val="0040675B"/>
    <w:rsid w:val="00410F07"/>
    <w:rsid w:val="00413784"/>
    <w:rsid w:val="0041687A"/>
    <w:rsid w:val="00424885"/>
    <w:rsid w:val="00425275"/>
    <w:rsid w:val="00425A16"/>
    <w:rsid w:val="004275EB"/>
    <w:rsid w:val="0043774E"/>
    <w:rsid w:val="00443759"/>
    <w:rsid w:val="004467DC"/>
    <w:rsid w:val="00451646"/>
    <w:rsid w:val="00454C17"/>
    <w:rsid w:val="00462BA7"/>
    <w:rsid w:val="00463DD7"/>
    <w:rsid w:val="004722EE"/>
    <w:rsid w:val="0048117F"/>
    <w:rsid w:val="00487883"/>
    <w:rsid w:val="00492E21"/>
    <w:rsid w:val="0049343B"/>
    <w:rsid w:val="004A19F7"/>
    <w:rsid w:val="004A6708"/>
    <w:rsid w:val="004B00FD"/>
    <w:rsid w:val="004B3000"/>
    <w:rsid w:val="004B6DF1"/>
    <w:rsid w:val="004C1702"/>
    <w:rsid w:val="004C1C77"/>
    <w:rsid w:val="004D0489"/>
    <w:rsid w:val="004D57D8"/>
    <w:rsid w:val="004D6DE5"/>
    <w:rsid w:val="004E03C5"/>
    <w:rsid w:val="004F5BE1"/>
    <w:rsid w:val="004F66D4"/>
    <w:rsid w:val="004F7F02"/>
    <w:rsid w:val="00501FC3"/>
    <w:rsid w:val="00516644"/>
    <w:rsid w:val="005262E4"/>
    <w:rsid w:val="00536370"/>
    <w:rsid w:val="005511C1"/>
    <w:rsid w:val="0055263A"/>
    <w:rsid w:val="00556A45"/>
    <w:rsid w:val="005579E3"/>
    <w:rsid w:val="005605F4"/>
    <w:rsid w:val="0056267F"/>
    <w:rsid w:val="005627A3"/>
    <w:rsid w:val="0056593E"/>
    <w:rsid w:val="00566F48"/>
    <w:rsid w:val="005775CB"/>
    <w:rsid w:val="0058513E"/>
    <w:rsid w:val="0058672D"/>
    <w:rsid w:val="005A73E6"/>
    <w:rsid w:val="005B1A18"/>
    <w:rsid w:val="005B2F64"/>
    <w:rsid w:val="005B6683"/>
    <w:rsid w:val="005B7E38"/>
    <w:rsid w:val="005C7EBD"/>
    <w:rsid w:val="005D0418"/>
    <w:rsid w:val="005D3BAE"/>
    <w:rsid w:val="005E2AFB"/>
    <w:rsid w:val="005E32AF"/>
    <w:rsid w:val="005E4825"/>
    <w:rsid w:val="005E4C02"/>
    <w:rsid w:val="005E6C26"/>
    <w:rsid w:val="005E6CE4"/>
    <w:rsid w:val="005E6FED"/>
    <w:rsid w:val="005E7CF6"/>
    <w:rsid w:val="005F3128"/>
    <w:rsid w:val="006042C1"/>
    <w:rsid w:val="00615931"/>
    <w:rsid w:val="00616188"/>
    <w:rsid w:val="0061696B"/>
    <w:rsid w:val="00616D14"/>
    <w:rsid w:val="00620275"/>
    <w:rsid w:val="0062150C"/>
    <w:rsid w:val="006423F1"/>
    <w:rsid w:val="006447C3"/>
    <w:rsid w:val="00645233"/>
    <w:rsid w:val="006567EC"/>
    <w:rsid w:val="0066310B"/>
    <w:rsid w:val="00674063"/>
    <w:rsid w:val="006771F2"/>
    <w:rsid w:val="00682229"/>
    <w:rsid w:val="00683BE3"/>
    <w:rsid w:val="00692958"/>
    <w:rsid w:val="006A4DED"/>
    <w:rsid w:val="006A69DE"/>
    <w:rsid w:val="006B4991"/>
    <w:rsid w:val="006B5E49"/>
    <w:rsid w:val="006C30AB"/>
    <w:rsid w:val="006C409E"/>
    <w:rsid w:val="006D08A7"/>
    <w:rsid w:val="006D580F"/>
    <w:rsid w:val="006D65F5"/>
    <w:rsid w:val="006E38AE"/>
    <w:rsid w:val="006E4280"/>
    <w:rsid w:val="006E55A0"/>
    <w:rsid w:val="006E6B1A"/>
    <w:rsid w:val="006E71D6"/>
    <w:rsid w:val="006E76DB"/>
    <w:rsid w:val="006F5085"/>
    <w:rsid w:val="00706315"/>
    <w:rsid w:val="0071101A"/>
    <w:rsid w:val="0071110D"/>
    <w:rsid w:val="00715D7B"/>
    <w:rsid w:val="00716699"/>
    <w:rsid w:val="00722207"/>
    <w:rsid w:val="00722AAB"/>
    <w:rsid w:val="007456DB"/>
    <w:rsid w:val="00760D92"/>
    <w:rsid w:val="00761FB8"/>
    <w:rsid w:val="00762001"/>
    <w:rsid w:val="007632A9"/>
    <w:rsid w:val="00772E0E"/>
    <w:rsid w:val="00774238"/>
    <w:rsid w:val="00774F4F"/>
    <w:rsid w:val="0077698F"/>
    <w:rsid w:val="007771B6"/>
    <w:rsid w:val="00782418"/>
    <w:rsid w:val="00783C4B"/>
    <w:rsid w:val="00792A56"/>
    <w:rsid w:val="00793FFE"/>
    <w:rsid w:val="007A2250"/>
    <w:rsid w:val="007A7210"/>
    <w:rsid w:val="007A7A67"/>
    <w:rsid w:val="007B214B"/>
    <w:rsid w:val="007C01D5"/>
    <w:rsid w:val="007C229F"/>
    <w:rsid w:val="007D01D4"/>
    <w:rsid w:val="007D7FBC"/>
    <w:rsid w:val="007F25AF"/>
    <w:rsid w:val="007F54AF"/>
    <w:rsid w:val="007F6C90"/>
    <w:rsid w:val="00805FB7"/>
    <w:rsid w:val="00812015"/>
    <w:rsid w:val="00814A0C"/>
    <w:rsid w:val="0081503A"/>
    <w:rsid w:val="008204A2"/>
    <w:rsid w:val="00820DAF"/>
    <w:rsid w:val="00827ABC"/>
    <w:rsid w:val="00830912"/>
    <w:rsid w:val="00830E7B"/>
    <w:rsid w:val="00832D6E"/>
    <w:rsid w:val="00841AFF"/>
    <w:rsid w:val="008474E0"/>
    <w:rsid w:val="0085287C"/>
    <w:rsid w:val="00863548"/>
    <w:rsid w:val="00874216"/>
    <w:rsid w:val="00875412"/>
    <w:rsid w:val="0088154E"/>
    <w:rsid w:val="00881FD7"/>
    <w:rsid w:val="00882CE5"/>
    <w:rsid w:val="0088657E"/>
    <w:rsid w:val="00890FBA"/>
    <w:rsid w:val="00891737"/>
    <w:rsid w:val="008973E9"/>
    <w:rsid w:val="00897E1B"/>
    <w:rsid w:val="008A1013"/>
    <w:rsid w:val="008A67BD"/>
    <w:rsid w:val="008B3909"/>
    <w:rsid w:val="008C37B0"/>
    <w:rsid w:val="008C47D3"/>
    <w:rsid w:val="008D7145"/>
    <w:rsid w:val="008E02E1"/>
    <w:rsid w:val="008E03A2"/>
    <w:rsid w:val="008E0833"/>
    <w:rsid w:val="008E3CF0"/>
    <w:rsid w:val="008E7B0E"/>
    <w:rsid w:val="008E7E72"/>
    <w:rsid w:val="008F0925"/>
    <w:rsid w:val="00902B1A"/>
    <w:rsid w:val="009036DA"/>
    <w:rsid w:val="009062EF"/>
    <w:rsid w:val="009171A5"/>
    <w:rsid w:val="009171F3"/>
    <w:rsid w:val="00917D76"/>
    <w:rsid w:val="00924C79"/>
    <w:rsid w:val="00926E0F"/>
    <w:rsid w:val="00932574"/>
    <w:rsid w:val="009338E8"/>
    <w:rsid w:val="00935ACB"/>
    <w:rsid w:val="00947BD5"/>
    <w:rsid w:val="0095154F"/>
    <w:rsid w:val="009632B3"/>
    <w:rsid w:val="00964A1A"/>
    <w:rsid w:val="00965225"/>
    <w:rsid w:val="00977890"/>
    <w:rsid w:val="00977DBD"/>
    <w:rsid w:val="00985C4F"/>
    <w:rsid w:val="009958C7"/>
    <w:rsid w:val="00996B44"/>
    <w:rsid w:val="00997DAB"/>
    <w:rsid w:val="009A358C"/>
    <w:rsid w:val="009B258B"/>
    <w:rsid w:val="009E0BE6"/>
    <w:rsid w:val="009E0E79"/>
    <w:rsid w:val="009E6914"/>
    <w:rsid w:val="009E7DED"/>
    <w:rsid w:val="009F3F3B"/>
    <w:rsid w:val="009F47A8"/>
    <w:rsid w:val="009F5E70"/>
    <w:rsid w:val="00A04A7C"/>
    <w:rsid w:val="00A118CA"/>
    <w:rsid w:val="00A1195F"/>
    <w:rsid w:val="00A1322A"/>
    <w:rsid w:val="00A146EA"/>
    <w:rsid w:val="00A172E2"/>
    <w:rsid w:val="00A2083C"/>
    <w:rsid w:val="00A247D1"/>
    <w:rsid w:val="00A31EA6"/>
    <w:rsid w:val="00A3313C"/>
    <w:rsid w:val="00A349A4"/>
    <w:rsid w:val="00A375F0"/>
    <w:rsid w:val="00A4040F"/>
    <w:rsid w:val="00A413A7"/>
    <w:rsid w:val="00A45794"/>
    <w:rsid w:val="00A45CF6"/>
    <w:rsid w:val="00A45F4D"/>
    <w:rsid w:val="00A46565"/>
    <w:rsid w:val="00A553ED"/>
    <w:rsid w:val="00A60259"/>
    <w:rsid w:val="00A62E44"/>
    <w:rsid w:val="00A64EEA"/>
    <w:rsid w:val="00A6616B"/>
    <w:rsid w:val="00A6642F"/>
    <w:rsid w:val="00A70C9F"/>
    <w:rsid w:val="00A768D1"/>
    <w:rsid w:val="00A77AF6"/>
    <w:rsid w:val="00A876BB"/>
    <w:rsid w:val="00A97E2D"/>
    <w:rsid w:val="00AB086C"/>
    <w:rsid w:val="00AB7B6B"/>
    <w:rsid w:val="00AC0B29"/>
    <w:rsid w:val="00AD2BD0"/>
    <w:rsid w:val="00AD3860"/>
    <w:rsid w:val="00AE0147"/>
    <w:rsid w:val="00AE3523"/>
    <w:rsid w:val="00AE50BE"/>
    <w:rsid w:val="00AF6C2D"/>
    <w:rsid w:val="00B01969"/>
    <w:rsid w:val="00B01CE6"/>
    <w:rsid w:val="00B034AA"/>
    <w:rsid w:val="00B05521"/>
    <w:rsid w:val="00B074D5"/>
    <w:rsid w:val="00B076D7"/>
    <w:rsid w:val="00B07A4F"/>
    <w:rsid w:val="00B14B03"/>
    <w:rsid w:val="00B17675"/>
    <w:rsid w:val="00B22BAD"/>
    <w:rsid w:val="00B26DA1"/>
    <w:rsid w:val="00B3095D"/>
    <w:rsid w:val="00B36C79"/>
    <w:rsid w:val="00B3790F"/>
    <w:rsid w:val="00B37BB9"/>
    <w:rsid w:val="00B4040A"/>
    <w:rsid w:val="00B426EB"/>
    <w:rsid w:val="00B475F4"/>
    <w:rsid w:val="00B51F7C"/>
    <w:rsid w:val="00B529B2"/>
    <w:rsid w:val="00B66995"/>
    <w:rsid w:val="00B738B2"/>
    <w:rsid w:val="00B73994"/>
    <w:rsid w:val="00B85E23"/>
    <w:rsid w:val="00B90435"/>
    <w:rsid w:val="00B955B7"/>
    <w:rsid w:val="00B960E8"/>
    <w:rsid w:val="00BA1544"/>
    <w:rsid w:val="00BB232E"/>
    <w:rsid w:val="00BB38D1"/>
    <w:rsid w:val="00BB654F"/>
    <w:rsid w:val="00BC1270"/>
    <w:rsid w:val="00BD1635"/>
    <w:rsid w:val="00BD2572"/>
    <w:rsid w:val="00BD440A"/>
    <w:rsid w:val="00BD53A6"/>
    <w:rsid w:val="00C1027C"/>
    <w:rsid w:val="00C13F6A"/>
    <w:rsid w:val="00C22A19"/>
    <w:rsid w:val="00C34B5C"/>
    <w:rsid w:val="00C4740E"/>
    <w:rsid w:val="00C6276A"/>
    <w:rsid w:val="00C82905"/>
    <w:rsid w:val="00C84562"/>
    <w:rsid w:val="00C97F54"/>
    <w:rsid w:val="00CB21FA"/>
    <w:rsid w:val="00CB278A"/>
    <w:rsid w:val="00CB3DB1"/>
    <w:rsid w:val="00CB48F7"/>
    <w:rsid w:val="00CC14A4"/>
    <w:rsid w:val="00CC4A0F"/>
    <w:rsid w:val="00CD5A72"/>
    <w:rsid w:val="00CE203B"/>
    <w:rsid w:val="00CE3005"/>
    <w:rsid w:val="00CE506A"/>
    <w:rsid w:val="00CF11CA"/>
    <w:rsid w:val="00CF2789"/>
    <w:rsid w:val="00CF36AA"/>
    <w:rsid w:val="00D03915"/>
    <w:rsid w:val="00D075A0"/>
    <w:rsid w:val="00D118FA"/>
    <w:rsid w:val="00D11E51"/>
    <w:rsid w:val="00D12EED"/>
    <w:rsid w:val="00D174A6"/>
    <w:rsid w:val="00D25740"/>
    <w:rsid w:val="00D34170"/>
    <w:rsid w:val="00D40593"/>
    <w:rsid w:val="00D42C73"/>
    <w:rsid w:val="00D43138"/>
    <w:rsid w:val="00D46266"/>
    <w:rsid w:val="00D47E4F"/>
    <w:rsid w:val="00D52747"/>
    <w:rsid w:val="00D578B9"/>
    <w:rsid w:val="00D62D8F"/>
    <w:rsid w:val="00D6305A"/>
    <w:rsid w:val="00D67C24"/>
    <w:rsid w:val="00D979CA"/>
    <w:rsid w:val="00D97AA0"/>
    <w:rsid w:val="00DA0C74"/>
    <w:rsid w:val="00DA3608"/>
    <w:rsid w:val="00DA3AA4"/>
    <w:rsid w:val="00DB1D9D"/>
    <w:rsid w:val="00DB7E49"/>
    <w:rsid w:val="00DC0165"/>
    <w:rsid w:val="00DC3274"/>
    <w:rsid w:val="00DC6F1C"/>
    <w:rsid w:val="00DD2F76"/>
    <w:rsid w:val="00DD3729"/>
    <w:rsid w:val="00DD67F4"/>
    <w:rsid w:val="00DD7676"/>
    <w:rsid w:val="00DE2C09"/>
    <w:rsid w:val="00DE39A4"/>
    <w:rsid w:val="00DF0F45"/>
    <w:rsid w:val="00E00BBA"/>
    <w:rsid w:val="00E147EB"/>
    <w:rsid w:val="00E1567F"/>
    <w:rsid w:val="00E176AF"/>
    <w:rsid w:val="00E204CA"/>
    <w:rsid w:val="00E24C06"/>
    <w:rsid w:val="00E2646E"/>
    <w:rsid w:val="00E32741"/>
    <w:rsid w:val="00E434AD"/>
    <w:rsid w:val="00E44253"/>
    <w:rsid w:val="00E44A1D"/>
    <w:rsid w:val="00E47528"/>
    <w:rsid w:val="00E54FCC"/>
    <w:rsid w:val="00E56A7A"/>
    <w:rsid w:val="00E56D14"/>
    <w:rsid w:val="00E91839"/>
    <w:rsid w:val="00E973D0"/>
    <w:rsid w:val="00EA257F"/>
    <w:rsid w:val="00EB279C"/>
    <w:rsid w:val="00EC266F"/>
    <w:rsid w:val="00ED08CA"/>
    <w:rsid w:val="00ED6155"/>
    <w:rsid w:val="00EE0DEA"/>
    <w:rsid w:val="00EE2C01"/>
    <w:rsid w:val="00EE5641"/>
    <w:rsid w:val="00F033B4"/>
    <w:rsid w:val="00F12CBA"/>
    <w:rsid w:val="00F17FDA"/>
    <w:rsid w:val="00F266B0"/>
    <w:rsid w:val="00F26B57"/>
    <w:rsid w:val="00F2709A"/>
    <w:rsid w:val="00F277A2"/>
    <w:rsid w:val="00F327C5"/>
    <w:rsid w:val="00F37730"/>
    <w:rsid w:val="00F41BF5"/>
    <w:rsid w:val="00F440F4"/>
    <w:rsid w:val="00F546B4"/>
    <w:rsid w:val="00F55FD4"/>
    <w:rsid w:val="00F56C7A"/>
    <w:rsid w:val="00F61F6B"/>
    <w:rsid w:val="00F670B9"/>
    <w:rsid w:val="00F676C5"/>
    <w:rsid w:val="00F73524"/>
    <w:rsid w:val="00F74B00"/>
    <w:rsid w:val="00F76CB3"/>
    <w:rsid w:val="00F76CD4"/>
    <w:rsid w:val="00F82784"/>
    <w:rsid w:val="00F85735"/>
    <w:rsid w:val="00F9438A"/>
    <w:rsid w:val="00F94B14"/>
    <w:rsid w:val="00F977DF"/>
    <w:rsid w:val="00FA32D2"/>
    <w:rsid w:val="00FA3C98"/>
    <w:rsid w:val="00FA5AD7"/>
    <w:rsid w:val="00FB13A7"/>
    <w:rsid w:val="00FB4407"/>
    <w:rsid w:val="00FC51EB"/>
    <w:rsid w:val="00FD7608"/>
    <w:rsid w:val="00FE1124"/>
    <w:rsid w:val="00FE1D15"/>
    <w:rsid w:val="00FE1DF8"/>
    <w:rsid w:val="00FF3459"/>
    <w:rsid w:val="00FF3E9E"/>
    <w:rsid w:val="00FF5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7FBFCF1D"/>
  <w15:docId w15:val="{5C3EFA02-E458-454E-B170-71523032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1EB"/>
    <w:pPr>
      <w:spacing w:after="200" w:line="276" w:lineRule="auto"/>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81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117F"/>
    <w:rPr>
      <w:rFonts w:ascii="Tahoma" w:hAnsi="Tahoma" w:cs="Tahoma"/>
      <w:sz w:val="16"/>
      <w:szCs w:val="16"/>
    </w:rPr>
  </w:style>
  <w:style w:type="character" w:styleId="Hyperlink">
    <w:name w:val="Hyperlink"/>
    <w:basedOn w:val="DefaultParagraphFont"/>
    <w:uiPriority w:val="99"/>
    <w:rsid w:val="0007451B"/>
    <w:rPr>
      <w:rFonts w:cs="Times New Roman"/>
      <w:color w:val="0000FF"/>
      <w:u w:val="single"/>
    </w:rPr>
  </w:style>
  <w:style w:type="paragraph" w:styleId="ListParagraph">
    <w:name w:val="List Paragraph"/>
    <w:basedOn w:val="Normal"/>
    <w:uiPriority w:val="99"/>
    <w:qFormat/>
    <w:rsid w:val="0039094C"/>
    <w:pPr>
      <w:ind w:left="720"/>
      <w:contextualSpacing/>
    </w:pPr>
  </w:style>
  <w:style w:type="paragraph" w:styleId="Header">
    <w:name w:val="header"/>
    <w:basedOn w:val="Normal"/>
    <w:link w:val="HeaderChar"/>
    <w:uiPriority w:val="99"/>
    <w:semiHidden/>
    <w:rsid w:val="00F377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F37730"/>
    <w:rPr>
      <w:rFonts w:cs="Times New Roman"/>
    </w:rPr>
  </w:style>
  <w:style w:type="paragraph" w:styleId="Footer">
    <w:name w:val="footer"/>
    <w:basedOn w:val="Normal"/>
    <w:link w:val="FooterChar"/>
    <w:uiPriority w:val="99"/>
    <w:rsid w:val="00F3773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37730"/>
    <w:rPr>
      <w:rFonts w:cs="Times New Roman"/>
    </w:rPr>
  </w:style>
  <w:style w:type="character" w:styleId="IntenseReference">
    <w:name w:val="Intense Reference"/>
    <w:basedOn w:val="DefaultParagraphFont"/>
    <w:uiPriority w:val="99"/>
    <w:qFormat/>
    <w:rsid w:val="00A876BB"/>
    <w:rPr>
      <w:rFonts w:cs="Times New Roman"/>
      <w:b/>
      <w:bCs/>
      <w:smallCaps/>
      <w:color w:val="C0504D"/>
      <w:spacing w:val="5"/>
      <w:u w:val="single"/>
    </w:rPr>
  </w:style>
  <w:style w:type="character" w:styleId="SubtleReference">
    <w:name w:val="Subtle Reference"/>
    <w:basedOn w:val="DefaultParagraphFont"/>
    <w:uiPriority w:val="99"/>
    <w:qFormat/>
    <w:rsid w:val="00A876BB"/>
    <w:rPr>
      <w:rFonts w:cs="Times New Roman"/>
      <w:smallCaps/>
      <w:color w:val="C0504D"/>
      <w:u w:val="single"/>
    </w:rPr>
  </w:style>
  <w:style w:type="character" w:styleId="BookTitle">
    <w:name w:val="Book Title"/>
    <w:basedOn w:val="DefaultParagraphFont"/>
    <w:uiPriority w:val="99"/>
    <w:qFormat/>
    <w:rsid w:val="00A876BB"/>
    <w:rPr>
      <w:rFonts w:cs="Times New Roman"/>
      <w:b/>
      <w:bCs/>
      <w:smallCaps/>
      <w:spacing w:val="5"/>
    </w:rPr>
  </w:style>
  <w:style w:type="table" w:styleId="TableGrid">
    <w:name w:val="Table Grid"/>
    <w:basedOn w:val="TableNormal"/>
    <w:uiPriority w:val="99"/>
    <w:rsid w:val="006161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FA5AD7"/>
    <w:rPr>
      <w:rFonts w:cs="Times New Roman"/>
      <w:sz w:val="16"/>
      <w:szCs w:val="16"/>
    </w:rPr>
  </w:style>
  <w:style w:type="paragraph" w:styleId="CommentText">
    <w:name w:val="annotation text"/>
    <w:basedOn w:val="Normal"/>
    <w:link w:val="CommentTextChar"/>
    <w:uiPriority w:val="99"/>
    <w:semiHidden/>
    <w:rsid w:val="00FA5AD7"/>
    <w:rPr>
      <w:sz w:val="20"/>
      <w:szCs w:val="20"/>
    </w:rPr>
  </w:style>
  <w:style w:type="character" w:customStyle="1" w:styleId="CommentTextChar">
    <w:name w:val="Comment Text Char"/>
    <w:basedOn w:val="DefaultParagraphFont"/>
    <w:link w:val="CommentText"/>
    <w:uiPriority w:val="99"/>
    <w:semiHidden/>
    <w:locked/>
    <w:rsid w:val="00492E21"/>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FA5AD7"/>
    <w:rPr>
      <w:b/>
      <w:bCs/>
    </w:rPr>
  </w:style>
  <w:style w:type="character" w:customStyle="1" w:styleId="CommentSubjectChar">
    <w:name w:val="Comment Subject Char"/>
    <w:basedOn w:val="CommentTextChar"/>
    <w:link w:val="CommentSubject"/>
    <w:uiPriority w:val="99"/>
    <w:semiHidden/>
    <w:locked/>
    <w:rsid w:val="00492E21"/>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726119">
      <w:marLeft w:val="0"/>
      <w:marRight w:val="0"/>
      <w:marTop w:val="0"/>
      <w:marBottom w:val="0"/>
      <w:divBdr>
        <w:top w:val="none" w:sz="0" w:space="0" w:color="auto"/>
        <w:left w:val="none" w:sz="0" w:space="0" w:color="auto"/>
        <w:bottom w:val="none" w:sz="0" w:space="0" w:color="auto"/>
        <w:right w:val="none" w:sz="0" w:space="0" w:color="auto"/>
      </w:divBdr>
    </w:div>
    <w:div w:id="658726120">
      <w:marLeft w:val="0"/>
      <w:marRight w:val="0"/>
      <w:marTop w:val="0"/>
      <w:marBottom w:val="0"/>
      <w:divBdr>
        <w:top w:val="none" w:sz="0" w:space="0" w:color="auto"/>
        <w:left w:val="none" w:sz="0" w:space="0" w:color="auto"/>
        <w:bottom w:val="none" w:sz="0" w:space="0" w:color="auto"/>
        <w:right w:val="none" w:sz="0" w:space="0" w:color="auto"/>
      </w:divBdr>
    </w:div>
    <w:div w:id="658726121">
      <w:marLeft w:val="0"/>
      <w:marRight w:val="0"/>
      <w:marTop w:val="0"/>
      <w:marBottom w:val="0"/>
      <w:divBdr>
        <w:top w:val="none" w:sz="0" w:space="0" w:color="auto"/>
        <w:left w:val="none" w:sz="0" w:space="0" w:color="auto"/>
        <w:bottom w:val="none" w:sz="0" w:space="0" w:color="auto"/>
        <w:right w:val="none" w:sz="0" w:space="0" w:color="auto"/>
      </w:divBdr>
    </w:div>
    <w:div w:id="658726122">
      <w:marLeft w:val="0"/>
      <w:marRight w:val="0"/>
      <w:marTop w:val="0"/>
      <w:marBottom w:val="0"/>
      <w:divBdr>
        <w:top w:val="none" w:sz="0" w:space="0" w:color="auto"/>
        <w:left w:val="none" w:sz="0" w:space="0" w:color="auto"/>
        <w:bottom w:val="none" w:sz="0" w:space="0" w:color="auto"/>
        <w:right w:val="none" w:sz="0" w:space="0" w:color="auto"/>
      </w:divBdr>
    </w:div>
    <w:div w:id="658726123">
      <w:marLeft w:val="0"/>
      <w:marRight w:val="0"/>
      <w:marTop w:val="0"/>
      <w:marBottom w:val="0"/>
      <w:divBdr>
        <w:top w:val="none" w:sz="0" w:space="0" w:color="auto"/>
        <w:left w:val="none" w:sz="0" w:space="0" w:color="auto"/>
        <w:bottom w:val="none" w:sz="0" w:space="0" w:color="auto"/>
        <w:right w:val="none" w:sz="0" w:space="0" w:color="auto"/>
      </w:divBdr>
    </w:div>
    <w:div w:id="658726124">
      <w:marLeft w:val="0"/>
      <w:marRight w:val="0"/>
      <w:marTop w:val="0"/>
      <w:marBottom w:val="0"/>
      <w:divBdr>
        <w:top w:val="none" w:sz="0" w:space="0" w:color="auto"/>
        <w:left w:val="none" w:sz="0" w:space="0" w:color="auto"/>
        <w:bottom w:val="none" w:sz="0" w:space="0" w:color="auto"/>
        <w:right w:val="none" w:sz="0" w:space="0" w:color="auto"/>
      </w:divBdr>
    </w:div>
    <w:div w:id="658726125">
      <w:marLeft w:val="0"/>
      <w:marRight w:val="0"/>
      <w:marTop w:val="0"/>
      <w:marBottom w:val="0"/>
      <w:divBdr>
        <w:top w:val="none" w:sz="0" w:space="0" w:color="auto"/>
        <w:left w:val="none" w:sz="0" w:space="0" w:color="auto"/>
        <w:bottom w:val="none" w:sz="0" w:space="0" w:color="auto"/>
        <w:right w:val="none" w:sz="0" w:space="0" w:color="auto"/>
      </w:divBdr>
    </w:div>
    <w:div w:id="658726126">
      <w:marLeft w:val="0"/>
      <w:marRight w:val="0"/>
      <w:marTop w:val="0"/>
      <w:marBottom w:val="0"/>
      <w:divBdr>
        <w:top w:val="none" w:sz="0" w:space="0" w:color="auto"/>
        <w:left w:val="none" w:sz="0" w:space="0" w:color="auto"/>
        <w:bottom w:val="none" w:sz="0" w:space="0" w:color="auto"/>
        <w:right w:val="none" w:sz="0" w:space="0" w:color="auto"/>
      </w:divBdr>
    </w:div>
    <w:div w:id="658726127">
      <w:marLeft w:val="0"/>
      <w:marRight w:val="0"/>
      <w:marTop w:val="0"/>
      <w:marBottom w:val="0"/>
      <w:divBdr>
        <w:top w:val="none" w:sz="0" w:space="0" w:color="auto"/>
        <w:left w:val="none" w:sz="0" w:space="0" w:color="auto"/>
        <w:bottom w:val="none" w:sz="0" w:space="0" w:color="auto"/>
        <w:right w:val="none" w:sz="0" w:space="0" w:color="auto"/>
      </w:divBdr>
    </w:div>
    <w:div w:id="658726128">
      <w:marLeft w:val="0"/>
      <w:marRight w:val="0"/>
      <w:marTop w:val="0"/>
      <w:marBottom w:val="0"/>
      <w:divBdr>
        <w:top w:val="none" w:sz="0" w:space="0" w:color="auto"/>
        <w:left w:val="none" w:sz="0" w:space="0" w:color="auto"/>
        <w:bottom w:val="none" w:sz="0" w:space="0" w:color="auto"/>
        <w:right w:val="none" w:sz="0" w:space="0" w:color="auto"/>
      </w:divBdr>
    </w:div>
    <w:div w:id="658726129">
      <w:marLeft w:val="0"/>
      <w:marRight w:val="0"/>
      <w:marTop w:val="0"/>
      <w:marBottom w:val="0"/>
      <w:divBdr>
        <w:top w:val="none" w:sz="0" w:space="0" w:color="auto"/>
        <w:left w:val="none" w:sz="0" w:space="0" w:color="auto"/>
        <w:bottom w:val="none" w:sz="0" w:space="0" w:color="auto"/>
        <w:right w:val="none" w:sz="0" w:space="0" w:color="auto"/>
      </w:divBdr>
    </w:div>
    <w:div w:id="658726130">
      <w:marLeft w:val="0"/>
      <w:marRight w:val="0"/>
      <w:marTop w:val="0"/>
      <w:marBottom w:val="0"/>
      <w:divBdr>
        <w:top w:val="none" w:sz="0" w:space="0" w:color="auto"/>
        <w:left w:val="none" w:sz="0" w:space="0" w:color="auto"/>
        <w:bottom w:val="none" w:sz="0" w:space="0" w:color="auto"/>
        <w:right w:val="none" w:sz="0" w:space="0" w:color="auto"/>
      </w:divBdr>
    </w:div>
    <w:div w:id="658726131">
      <w:marLeft w:val="0"/>
      <w:marRight w:val="0"/>
      <w:marTop w:val="0"/>
      <w:marBottom w:val="0"/>
      <w:divBdr>
        <w:top w:val="none" w:sz="0" w:space="0" w:color="auto"/>
        <w:left w:val="none" w:sz="0" w:space="0" w:color="auto"/>
        <w:bottom w:val="none" w:sz="0" w:space="0" w:color="auto"/>
        <w:right w:val="none" w:sz="0" w:space="0" w:color="auto"/>
      </w:divBdr>
    </w:div>
    <w:div w:id="658726132">
      <w:marLeft w:val="0"/>
      <w:marRight w:val="0"/>
      <w:marTop w:val="0"/>
      <w:marBottom w:val="0"/>
      <w:divBdr>
        <w:top w:val="none" w:sz="0" w:space="0" w:color="auto"/>
        <w:left w:val="none" w:sz="0" w:space="0" w:color="auto"/>
        <w:bottom w:val="none" w:sz="0" w:space="0" w:color="auto"/>
        <w:right w:val="none" w:sz="0" w:space="0" w:color="auto"/>
      </w:divBdr>
    </w:div>
    <w:div w:id="658726133">
      <w:marLeft w:val="0"/>
      <w:marRight w:val="0"/>
      <w:marTop w:val="0"/>
      <w:marBottom w:val="0"/>
      <w:divBdr>
        <w:top w:val="none" w:sz="0" w:space="0" w:color="auto"/>
        <w:left w:val="none" w:sz="0" w:space="0" w:color="auto"/>
        <w:bottom w:val="none" w:sz="0" w:space="0" w:color="auto"/>
        <w:right w:val="none" w:sz="0" w:space="0" w:color="auto"/>
      </w:divBdr>
    </w:div>
    <w:div w:id="658726134">
      <w:marLeft w:val="0"/>
      <w:marRight w:val="0"/>
      <w:marTop w:val="0"/>
      <w:marBottom w:val="0"/>
      <w:divBdr>
        <w:top w:val="none" w:sz="0" w:space="0" w:color="auto"/>
        <w:left w:val="none" w:sz="0" w:space="0" w:color="auto"/>
        <w:bottom w:val="none" w:sz="0" w:space="0" w:color="auto"/>
        <w:right w:val="none" w:sz="0" w:space="0" w:color="auto"/>
      </w:divBdr>
    </w:div>
    <w:div w:id="658726135">
      <w:marLeft w:val="0"/>
      <w:marRight w:val="0"/>
      <w:marTop w:val="0"/>
      <w:marBottom w:val="0"/>
      <w:divBdr>
        <w:top w:val="none" w:sz="0" w:space="0" w:color="auto"/>
        <w:left w:val="none" w:sz="0" w:space="0" w:color="auto"/>
        <w:bottom w:val="none" w:sz="0" w:space="0" w:color="auto"/>
        <w:right w:val="none" w:sz="0" w:space="0" w:color="auto"/>
      </w:divBdr>
    </w:div>
    <w:div w:id="658726136">
      <w:marLeft w:val="0"/>
      <w:marRight w:val="0"/>
      <w:marTop w:val="0"/>
      <w:marBottom w:val="0"/>
      <w:divBdr>
        <w:top w:val="none" w:sz="0" w:space="0" w:color="auto"/>
        <w:left w:val="none" w:sz="0" w:space="0" w:color="auto"/>
        <w:bottom w:val="none" w:sz="0" w:space="0" w:color="auto"/>
        <w:right w:val="none" w:sz="0" w:space="0" w:color="auto"/>
      </w:divBdr>
    </w:div>
    <w:div w:id="658726137">
      <w:marLeft w:val="0"/>
      <w:marRight w:val="0"/>
      <w:marTop w:val="0"/>
      <w:marBottom w:val="0"/>
      <w:divBdr>
        <w:top w:val="none" w:sz="0" w:space="0" w:color="auto"/>
        <w:left w:val="none" w:sz="0" w:space="0" w:color="auto"/>
        <w:bottom w:val="none" w:sz="0" w:space="0" w:color="auto"/>
        <w:right w:val="none" w:sz="0" w:space="0" w:color="auto"/>
      </w:divBdr>
    </w:div>
    <w:div w:id="658726138">
      <w:marLeft w:val="0"/>
      <w:marRight w:val="0"/>
      <w:marTop w:val="0"/>
      <w:marBottom w:val="0"/>
      <w:divBdr>
        <w:top w:val="none" w:sz="0" w:space="0" w:color="auto"/>
        <w:left w:val="none" w:sz="0" w:space="0" w:color="auto"/>
        <w:bottom w:val="none" w:sz="0" w:space="0" w:color="auto"/>
        <w:right w:val="none" w:sz="0" w:space="0" w:color="auto"/>
      </w:divBdr>
    </w:div>
    <w:div w:id="658726139">
      <w:marLeft w:val="0"/>
      <w:marRight w:val="0"/>
      <w:marTop w:val="0"/>
      <w:marBottom w:val="0"/>
      <w:divBdr>
        <w:top w:val="none" w:sz="0" w:space="0" w:color="auto"/>
        <w:left w:val="none" w:sz="0" w:space="0" w:color="auto"/>
        <w:bottom w:val="none" w:sz="0" w:space="0" w:color="auto"/>
        <w:right w:val="none" w:sz="0" w:space="0" w:color="auto"/>
      </w:divBdr>
    </w:div>
    <w:div w:id="658726140">
      <w:marLeft w:val="0"/>
      <w:marRight w:val="0"/>
      <w:marTop w:val="0"/>
      <w:marBottom w:val="0"/>
      <w:divBdr>
        <w:top w:val="none" w:sz="0" w:space="0" w:color="auto"/>
        <w:left w:val="none" w:sz="0" w:space="0" w:color="auto"/>
        <w:bottom w:val="none" w:sz="0" w:space="0" w:color="auto"/>
        <w:right w:val="none" w:sz="0" w:space="0" w:color="auto"/>
      </w:divBdr>
    </w:div>
    <w:div w:id="658726141">
      <w:marLeft w:val="0"/>
      <w:marRight w:val="0"/>
      <w:marTop w:val="0"/>
      <w:marBottom w:val="0"/>
      <w:divBdr>
        <w:top w:val="none" w:sz="0" w:space="0" w:color="auto"/>
        <w:left w:val="none" w:sz="0" w:space="0" w:color="auto"/>
        <w:bottom w:val="none" w:sz="0" w:space="0" w:color="auto"/>
        <w:right w:val="none" w:sz="0" w:space="0" w:color="auto"/>
      </w:divBdr>
    </w:div>
    <w:div w:id="658726142">
      <w:marLeft w:val="0"/>
      <w:marRight w:val="0"/>
      <w:marTop w:val="0"/>
      <w:marBottom w:val="0"/>
      <w:divBdr>
        <w:top w:val="none" w:sz="0" w:space="0" w:color="auto"/>
        <w:left w:val="none" w:sz="0" w:space="0" w:color="auto"/>
        <w:bottom w:val="none" w:sz="0" w:space="0" w:color="auto"/>
        <w:right w:val="none" w:sz="0" w:space="0" w:color="auto"/>
      </w:divBdr>
    </w:div>
    <w:div w:id="658726143">
      <w:marLeft w:val="0"/>
      <w:marRight w:val="0"/>
      <w:marTop w:val="0"/>
      <w:marBottom w:val="0"/>
      <w:divBdr>
        <w:top w:val="none" w:sz="0" w:space="0" w:color="auto"/>
        <w:left w:val="none" w:sz="0" w:space="0" w:color="auto"/>
        <w:bottom w:val="none" w:sz="0" w:space="0" w:color="auto"/>
        <w:right w:val="none" w:sz="0" w:space="0" w:color="auto"/>
      </w:divBdr>
    </w:div>
    <w:div w:id="658726144">
      <w:marLeft w:val="0"/>
      <w:marRight w:val="0"/>
      <w:marTop w:val="0"/>
      <w:marBottom w:val="0"/>
      <w:divBdr>
        <w:top w:val="none" w:sz="0" w:space="0" w:color="auto"/>
        <w:left w:val="none" w:sz="0" w:space="0" w:color="auto"/>
        <w:bottom w:val="none" w:sz="0" w:space="0" w:color="auto"/>
        <w:right w:val="none" w:sz="0" w:space="0" w:color="auto"/>
      </w:divBdr>
    </w:div>
    <w:div w:id="658726145">
      <w:marLeft w:val="0"/>
      <w:marRight w:val="0"/>
      <w:marTop w:val="0"/>
      <w:marBottom w:val="0"/>
      <w:divBdr>
        <w:top w:val="none" w:sz="0" w:space="0" w:color="auto"/>
        <w:left w:val="none" w:sz="0" w:space="0" w:color="auto"/>
        <w:bottom w:val="none" w:sz="0" w:space="0" w:color="auto"/>
        <w:right w:val="none" w:sz="0" w:space="0" w:color="auto"/>
      </w:divBdr>
    </w:div>
    <w:div w:id="658726146">
      <w:marLeft w:val="0"/>
      <w:marRight w:val="0"/>
      <w:marTop w:val="0"/>
      <w:marBottom w:val="0"/>
      <w:divBdr>
        <w:top w:val="none" w:sz="0" w:space="0" w:color="auto"/>
        <w:left w:val="none" w:sz="0" w:space="0" w:color="auto"/>
        <w:bottom w:val="none" w:sz="0" w:space="0" w:color="auto"/>
        <w:right w:val="none" w:sz="0" w:space="0" w:color="auto"/>
      </w:divBdr>
    </w:div>
    <w:div w:id="658726147">
      <w:marLeft w:val="0"/>
      <w:marRight w:val="0"/>
      <w:marTop w:val="0"/>
      <w:marBottom w:val="0"/>
      <w:divBdr>
        <w:top w:val="none" w:sz="0" w:space="0" w:color="auto"/>
        <w:left w:val="none" w:sz="0" w:space="0" w:color="auto"/>
        <w:bottom w:val="none" w:sz="0" w:space="0" w:color="auto"/>
        <w:right w:val="none" w:sz="0" w:space="0" w:color="auto"/>
      </w:divBdr>
    </w:div>
    <w:div w:id="658726148">
      <w:marLeft w:val="0"/>
      <w:marRight w:val="0"/>
      <w:marTop w:val="0"/>
      <w:marBottom w:val="0"/>
      <w:divBdr>
        <w:top w:val="none" w:sz="0" w:space="0" w:color="auto"/>
        <w:left w:val="none" w:sz="0" w:space="0" w:color="auto"/>
        <w:bottom w:val="none" w:sz="0" w:space="0" w:color="auto"/>
        <w:right w:val="none" w:sz="0" w:space="0" w:color="auto"/>
      </w:divBdr>
    </w:div>
    <w:div w:id="658726149">
      <w:marLeft w:val="0"/>
      <w:marRight w:val="0"/>
      <w:marTop w:val="0"/>
      <w:marBottom w:val="0"/>
      <w:divBdr>
        <w:top w:val="none" w:sz="0" w:space="0" w:color="auto"/>
        <w:left w:val="none" w:sz="0" w:space="0" w:color="auto"/>
        <w:bottom w:val="none" w:sz="0" w:space="0" w:color="auto"/>
        <w:right w:val="none" w:sz="0" w:space="0" w:color="auto"/>
      </w:divBdr>
    </w:div>
    <w:div w:id="658726150">
      <w:marLeft w:val="0"/>
      <w:marRight w:val="0"/>
      <w:marTop w:val="0"/>
      <w:marBottom w:val="0"/>
      <w:divBdr>
        <w:top w:val="none" w:sz="0" w:space="0" w:color="auto"/>
        <w:left w:val="none" w:sz="0" w:space="0" w:color="auto"/>
        <w:bottom w:val="none" w:sz="0" w:space="0" w:color="auto"/>
        <w:right w:val="none" w:sz="0" w:space="0" w:color="auto"/>
      </w:divBdr>
    </w:div>
    <w:div w:id="658726151">
      <w:marLeft w:val="0"/>
      <w:marRight w:val="0"/>
      <w:marTop w:val="0"/>
      <w:marBottom w:val="0"/>
      <w:divBdr>
        <w:top w:val="none" w:sz="0" w:space="0" w:color="auto"/>
        <w:left w:val="none" w:sz="0" w:space="0" w:color="auto"/>
        <w:bottom w:val="none" w:sz="0" w:space="0" w:color="auto"/>
        <w:right w:val="none" w:sz="0" w:space="0" w:color="auto"/>
      </w:divBdr>
    </w:div>
    <w:div w:id="658726152">
      <w:marLeft w:val="0"/>
      <w:marRight w:val="0"/>
      <w:marTop w:val="0"/>
      <w:marBottom w:val="0"/>
      <w:divBdr>
        <w:top w:val="none" w:sz="0" w:space="0" w:color="auto"/>
        <w:left w:val="none" w:sz="0" w:space="0" w:color="auto"/>
        <w:bottom w:val="none" w:sz="0" w:space="0" w:color="auto"/>
        <w:right w:val="none" w:sz="0" w:space="0" w:color="auto"/>
      </w:divBdr>
    </w:div>
    <w:div w:id="658726153">
      <w:marLeft w:val="0"/>
      <w:marRight w:val="0"/>
      <w:marTop w:val="0"/>
      <w:marBottom w:val="0"/>
      <w:divBdr>
        <w:top w:val="none" w:sz="0" w:space="0" w:color="auto"/>
        <w:left w:val="none" w:sz="0" w:space="0" w:color="auto"/>
        <w:bottom w:val="none" w:sz="0" w:space="0" w:color="auto"/>
        <w:right w:val="none" w:sz="0" w:space="0" w:color="auto"/>
      </w:divBdr>
    </w:div>
    <w:div w:id="658726154">
      <w:marLeft w:val="0"/>
      <w:marRight w:val="0"/>
      <w:marTop w:val="0"/>
      <w:marBottom w:val="0"/>
      <w:divBdr>
        <w:top w:val="none" w:sz="0" w:space="0" w:color="auto"/>
        <w:left w:val="none" w:sz="0" w:space="0" w:color="auto"/>
        <w:bottom w:val="none" w:sz="0" w:space="0" w:color="auto"/>
        <w:right w:val="none" w:sz="0" w:space="0" w:color="auto"/>
      </w:divBdr>
    </w:div>
    <w:div w:id="658726155">
      <w:marLeft w:val="0"/>
      <w:marRight w:val="0"/>
      <w:marTop w:val="0"/>
      <w:marBottom w:val="0"/>
      <w:divBdr>
        <w:top w:val="none" w:sz="0" w:space="0" w:color="auto"/>
        <w:left w:val="none" w:sz="0" w:space="0" w:color="auto"/>
        <w:bottom w:val="none" w:sz="0" w:space="0" w:color="auto"/>
        <w:right w:val="none" w:sz="0" w:space="0" w:color="auto"/>
      </w:divBdr>
    </w:div>
    <w:div w:id="658726156">
      <w:marLeft w:val="0"/>
      <w:marRight w:val="0"/>
      <w:marTop w:val="0"/>
      <w:marBottom w:val="0"/>
      <w:divBdr>
        <w:top w:val="none" w:sz="0" w:space="0" w:color="auto"/>
        <w:left w:val="none" w:sz="0" w:space="0" w:color="auto"/>
        <w:bottom w:val="none" w:sz="0" w:space="0" w:color="auto"/>
        <w:right w:val="none" w:sz="0" w:space="0" w:color="auto"/>
      </w:divBdr>
    </w:div>
    <w:div w:id="658726157">
      <w:marLeft w:val="0"/>
      <w:marRight w:val="0"/>
      <w:marTop w:val="0"/>
      <w:marBottom w:val="0"/>
      <w:divBdr>
        <w:top w:val="none" w:sz="0" w:space="0" w:color="auto"/>
        <w:left w:val="none" w:sz="0" w:space="0" w:color="auto"/>
        <w:bottom w:val="none" w:sz="0" w:space="0" w:color="auto"/>
        <w:right w:val="none" w:sz="0" w:space="0" w:color="auto"/>
      </w:divBdr>
    </w:div>
    <w:div w:id="6587261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orpData02\CYP\ChildCare\Performance%20Reports%202008\PDRO\Chris%20Greenwood\Workload\CSC\Countywide\CPB\June%202015\CPB%20Template%20for%20June%202015.xlsx" TargetMode="External"/><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1" Type="http://schemas.openxmlformats.org/officeDocument/2006/relationships/oleObject" Target="file:///\\CorpData02\CYP\ChildCare\Performance%20Reports%202008\PDRO\Chris%20Greenwood\Workload\CSC\Countywide\CPB\September%202015\CPB%20Template%20for%20Sept%2020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orpData02\CYP\ChildCare\Performance%20Reports%202008\PDRO\Chris%20Greenwood\Workload\CSC\Countywide\CPB\September%202015\CPB%20Template%20for%20Sept%2020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orpData02\CYP\ChildCare\Performance%20Reports%202008\PDRO\Chris%20Greenwood\Workload\CSC\Countywide\CPB\February%202015\CPB%20Template%20for%20Feb%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blipFill>
              <a:blip xmlns:r="http://schemas.openxmlformats.org/officeDocument/2006/relationships" r:embed="rId1"/>
              <a:stretch>
                <a:fillRect/>
              </a:stretch>
            </a:blipFill>
            <a:ln>
              <a:solidFill>
                <a:schemeClr val="accent1"/>
              </a:solidFill>
            </a:ln>
          </c:spPr>
          <c:invertIfNegative val="0"/>
          <c:pictureOptions>
            <c:pictureFormat val="stack"/>
          </c:pictureOptions>
          <c:dLbls>
            <c:dLbl>
              <c:idx val="8"/>
              <c:layout/>
              <c:tx>
                <c:rich>
                  <a:bodyPr/>
                  <a:lstStyle/>
                  <a:p>
                    <a:r>
                      <a:rPr lang="en-US"/>
                      <a:t>64</a:t>
                    </a:r>
                  </a:p>
                </c:rich>
              </c:tx>
              <c:showLegendKey val="0"/>
              <c:showVal val="1"/>
              <c:showCatName val="0"/>
              <c:showSerName val="0"/>
              <c:showPercent val="0"/>
              <c:showBubbleSize val="0"/>
              <c:extLst>
                <c:ext xmlns:c15="http://schemas.microsoft.com/office/drawing/2012/chart" uri="{CE6537A1-D6FC-4f65-9D91-7224C49458BB}">
                  <c15:layout/>
                </c:ext>
              </c:extLst>
            </c:dLbl>
            <c:numFmt formatCode="#,##0" sourceLinked="0"/>
            <c:spPr>
              <a:noFill/>
              <a:ln>
                <a:noFill/>
              </a:ln>
              <a:effectLst/>
            </c:spPr>
            <c:txPr>
              <a:bodyPr/>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CLA!$J$3:$R$3</c:f>
              <c:strCache>
                <c:ptCount val="9"/>
                <c:pt idx="0">
                  <c:v>2007/08</c:v>
                </c:pt>
                <c:pt idx="1">
                  <c:v>2008/09</c:v>
                </c:pt>
                <c:pt idx="2">
                  <c:v>2009/10</c:v>
                </c:pt>
                <c:pt idx="3">
                  <c:v>2010/11</c:v>
                </c:pt>
                <c:pt idx="4">
                  <c:v>2011/12</c:v>
                </c:pt>
                <c:pt idx="5">
                  <c:v>2012/13</c:v>
                </c:pt>
                <c:pt idx="6">
                  <c:v>2013/14</c:v>
                </c:pt>
                <c:pt idx="7">
                  <c:v>2014/15</c:v>
                </c:pt>
                <c:pt idx="8">
                  <c:v>2015/16</c:v>
                </c:pt>
              </c:strCache>
            </c:strRef>
          </c:cat>
          <c:val>
            <c:numRef>
              <c:f>CLA!$J$4:$R$4</c:f>
              <c:numCache>
                <c:formatCode>0.0</c:formatCode>
                <c:ptCount val="9"/>
                <c:pt idx="0">
                  <c:v>51</c:v>
                </c:pt>
                <c:pt idx="1">
                  <c:v>50</c:v>
                </c:pt>
                <c:pt idx="2">
                  <c:v>52</c:v>
                </c:pt>
                <c:pt idx="3">
                  <c:v>53</c:v>
                </c:pt>
                <c:pt idx="4">
                  <c:v>54.4</c:v>
                </c:pt>
                <c:pt idx="5">
                  <c:v>60.9</c:v>
                </c:pt>
                <c:pt idx="6">
                  <c:v>65.599999999999994</c:v>
                </c:pt>
                <c:pt idx="7">
                  <c:v>66.599999999999994</c:v>
                </c:pt>
                <c:pt idx="8">
                  <c:v>65.8</c:v>
                </c:pt>
              </c:numCache>
            </c:numRef>
          </c:val>
        </c:ser>
        <c:dLbls>
          <c:showLegendKey val="0"/>
          <c:showVal val="0"/>
          <c:showCatName val="0"/>
          <c:showSerName val="0"/>
          <c:showPercent val="0"/>
          <c:showBubbleSize val="0"/>
        </c:dLbls>
        <c:gapWidth val="100"/>
        <c:axId val="128359800"/>
        <c:axId val="128359408"/>
      </c:barChart>
      <c:catAx>
        <c:axId val="128359800"/>
        <c:scaling>
          <c:orientation val="minMax"/>
        </c:scaling>
        <c:delete val="0"/>
        <c:axPos val="b"/>
        <c:numFmt formatCode="General" sourceLinked="0"/>
        <c:majorTickMark val="out"/>
        <c:minorTickMark val="none"/>
        <c:tickLblPos val="nextTo"/>
        <c:txPr>
          <a:bodyPr/>
          <a:lstStyle/>
          <a:p>
            <a:pPr>
              <a:defRPr sz="1200" b="0"/>
            </a:pPr>
            <a:endParaRPr lang="en-US"/>
          </a:p>
        </c:txPr>
        <c:crossAx val="128359408"/>
        <c:crosses val="autoZero"/>
        <c:auto val="1"/>
        <c:lblAlgn val="ctr"/>
        <c:lblOffset val="100"/>
        <c:noMultiLvlLbl val="0"/>
      </c:catAx>
      <c:valAx>
        <c:axId val="128359408"/>
        <c:scaling>
          <c:orientation val="minMax"/>
        </c:scaling>
        <c:delete val="0"/>
        <c:axPos val="l"/>
        <c:majorGridlines/>
        <c:numFmt formatCode="0" sourceLinked="0"/>
        <c:majorTickMark val="out"/>
        <c:minorTickMark val="none"/>
        <c:tickLblPos val="nextTo"/>
        <c:txPr>
          <a:bodyPr/>
          <a:lstStyle/>
          <a:p>
            <a:pPr>
              <a:defRPr sz="1200" b="0"/>
            </a:pPr>
            <a:endParaRPr lang="en-US"/>
          </a:p>
        </c:txPr>
        <c:crossAx val="128359800"/>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plotArea>
      <c:layout>
        <c:manualLayout>
          <c:layoutTarget val="inner"/>
          <c:xMode val="edge"/>
          <c:yMode val="edge"/>
          <c:x val="6.36802543875465E-2"/>
          <c:y val="4.6478389009368397E-2"/>
          <c:w val="0.67215485604506908"/>
          <c:h val="0.67652851573534867"/>
        </c:manualLayout>
      </c:layout>
      <c:barChart>
        <c:barDir val="col"/>
        <c:grouping val="clustered"/>
        <c:varyColors val="0"/>
        <c:ser>
          <c:idx val="0"/>
          <c:order val="0"/>
          <c:tx>
            <c:strRef>
              <c:f>'Contact to Core Assessment'!$B$14</c:f>
              <c:strCache>
                <c:ptCount val="1"/>
                <c:pt idx="0">
                  <c:v>Re-Referral Count</c:v>
                </c:pt>
              </c:strCache>
            </c:strRef>
          </c:tx>
          <c:invertIfNegative val="0"/>
          <c:dLbls>
            <c:spPr>
              <a:noFill/>
              <a:ln>
                <a:noFill/>
              </a:ln>
              <a:effectLst/>
            </c:spPr>
            <c:txPr>
              <a:bodyPr/>
              <a:lstStyle/>
              <a:p>
                <a:pPr>
                  <a:defRPr sz="1200" b="1">
                    <a:solidFill>
                      <a:schemeClr val="bg1"/>
                    </a:solidFill>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'Contact to Core Assessment'!$C$12:$I$13</c:f>
              <c:multiLvlStrCache>
                <c:ptCount val="7"/>
                <c:lvl>
                  <c:pt idx="0">
                    <c:v>2009/10</c:v>
                  </c:pt>
                  <c:pt idx="1">
                    <c:v>2010/11</c:v>
                  </c:pt>
                  <c:pt idx="2">
                    <c:v>2011/12</c:v>
                  </c:pt>
                  <c:pt idx="3">
                    <c:v>2012/13</c:v>
                  </c:pt>
                  <c:pt idx="4">
                    <c:v>2013/14</c:v>
                  </c:pt>
                  <c:pt idx="5">
                    <c:v>2014/15</c:v>
                  </c:pt>
                  <c:pt idx="6">
                    <c:v>Jun-15</c:v>
                  </c:pt>
                </c:lvl>
                <c:lvl>
                  <c:pt idx="0">
                    <c:v>Previous Performance Ave.</c:v>
                  </c:pt>
                  <c:pt idx="6">
                    <c:v>Current Performance</c:v>
                  </c:pt>
                </c:lvl>
              </c:multiLvlStrCache>
            </c:multiLvlStrRef>
          </c:cat>
          <c:val>
            <c:numRef>
              <c:f>'Contact to Core Assessment'!$C$14:$I$14</c:f>
              <c:numCache>
                <c:formatCode>0</c:formatCode>
                <c:ptCount val="7"/>
                <c:pt idx="0">
                  <c:v>379</c:v>
                </c:pt>
                <c:pt idx="1">
                  <c:v>353</c:v>
                </c:pt>
                <c:pt idx="2">
                  <c:v>272</c:v>
                </c:pt>
                <c:pt idx="3">
                  <c:v>281</c:v>
                </c:pt>
                <c:pt idx="4">
                  <c:v>308</c:v>
                </c:pt>
                <c:pt idx="5">
                  <c:v>150</c:v>
                </c:pt>
                <c:pt idx="6">
                  <c:v>201</c:v>
                </c:pt>
              </c:numCache>
            </c:numRef>
          </c:val>
        </c:ser>
        <c:dLbls>
          <c:showLegendKey val="0"/>
          <c:showVal val="0"/>
          <c:showCatName val="0"/>
          <c:showSerName val="0"/>
          <c:showPercent val="0"/>
          <c:showBubbleSize val="0"/>
        </c:dLbls>
        <c:gapWidth val="150"/>
        <c:axId val="144042920"/>
        <c:axId val="144043312"/>
      </c:barChart>
      <c:lineChart>
        <c:grouping val="standard"/>
        <c:varyColors val="0"/>
        <c:ser>
          <c:idx val="1"/>
          <c:order val="1"/>
          <c:tx>
            <c:strRef>
              <c:f>'Contact to Core Assessment'!$B$15</c:f>
              <c:strCache>
                <c:ptCount val="1"/>
                <c:pt idx="0">
                  <c:v>Re-Referral %</c:v>
                </c:pt>
              </c:strCache>
            </c:strRef>
          </c:tx>
          <c:dLbls>
            <c:dLbl>
              <c:idx val="0"/>
              <c:layout>
                <c:manualLayout>
                  <c:x val="-4.1888768751388292E-2"/>
                  <c:y val="-8.253258138299923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1888768751388292E-2"/>
                  <c:y val="-7.834628941253812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'Contact to Core Assessment'!$C$12:$I$13</c:f>
              <c:multiLvlStrCache>
                <c:ptCount val="7"/>
                <c:lvl>
                  <c:pt idx="0">
                    <c:v>2009/10</c:v>
                  </c:pt>
                  <c:pt idx="1">
                    <c:v>2010/11</c:v>
                  </c:pt>
                  <c:pt idx="2">
                    <c:v>2011/12</c:v>
                  </c:pt>
                  <c:pt idx="3">
                    <c:v>2012/13</c:v>
                  </c:pt>
                  <c:pt idx="4">
                    <c:v>2013/14</c:v>
                  </c:pt>
                  <c:pt idx="5">
                    <c:v>2014/15</c:v>
                  </c:pt>
                  <c:pt idx="6">
                    <c:v>Jun-15</c:v>
                  </c:pt>
                </c:lvl>
                <c:lvl>
                  <c:pt idx="0">
                    <c:v>Previous Performance Ave.</c:v>
                  </c:pt>
                  <c:pt idx="6">
                    <c:v>Current Performance</c:v>
                  </c:pt>
                </c:lvl>
              </c:multiLvlStrCache>
            </c:multiLvlStrRef>
          </c:cat>
          <c:val>
            <c:numRef>
              <c:f>'Contact to Core Assessment'!$C$15:$I$15</c:f>
              <c:numCache>
                <c:formatCode>0.0%</c:formatCode>
                <c:ptCount val="7"/>
                <c:pt idx="0">
                  <c:v>0.25800000000000001</c:v>
                </c:pt>
                <c:pt idx="1">
                  <c:v>0.254</c:v>
                </c:pt>
                <c:pt idx="2">
                  <c:v>0.23200000000000001</c:v>
                </c:pt>
                <c:pt idx="3">
                  <c:v>0.20499999999999999</c:v>
                </c:pt>
                <c:pt idx="4">
                  <c:v>0.21099999999999999</c:v>
                </c:pt>
                <c:pt idx="5">
                  <c:v>0.17499999999999999</c:v>
                </c:pt>
                <c:pt idx="6">
                  <c:v>0.17799999999999999</c:v>
                </c:pt>
              </c:numCache>
            </c:numRef>
          </c:val>
          <c:smooth val="0"/>
        </c:ser>
        <c:dLbls>
          <c:showLegendKey val="0"/>
          <c:showVal val="0"/>
          <c:showCatName val="0"/>
          <c:showSerName val="0"/>
          <c:showPercent val="0"/>
          <c:showBubbleSize val="0"/>
        </c:dLbls>
        <c:marker val="1"/>
        <c:smooth val="0"/>
        <c:axId val="144044096"/>
        <c:axId val="144043704"/>
      </c:lineChart>
      <c:catAx>
        <c:axId val="144042920"/>
        <c:scaling>
          <c:orientation val="minMax"/>
        </c:scaling>
        <c:delete val="0"/>
        <c:axPos val="b"/>
        <c:numFmt formatCode="General" sourceLinked="0"/>
        <c:majorTickMark val="out"/>
        <c:minorTickMark val="none"/>
        <c:tickLblPos val="nextTo"/>
        <c:txPr>
          <a:bodyPr/>
          <a:lstStyle/>
          <a:p>
            <a:pPr>
              <a:defRPr sz="1200"/>
            </a:pPr>
            <a:endParaRPr lang="en-US"/>
          </a:p>
        </c:txPr>
        <c:crossAx val="144043312"/>
        <c:crosses val="autoZero"/>
        <c:auto val="1"/>
        <c:lblAlgn val="ctr"/>
        <c:lblOffset val="100"/>
        <c:noMultiLvlLbl val="0"/>
      </c:catAx>
      <c:valAx>
        <c:axId val="144043312"/>
        <c:scaling>
          <c:orientation val="minMax"/>
        </c:scaling>
        <c:delete val="0"/>
        <c:axPos val="l"/>
        <c:majorGridlines/>
        <c:numFmt formatCode="0" sourceLinked="1"/>
        <c:majorTickMark val="out"/>
        <c:minorTickMark val="none"/>
        <c:tickLblPos val="nextTo"/>
        <c:txPr>
          <a:bodyPr/>
          <a:lstStyle/>
          <a:p>
            <a:pPr>
              <a:defRPr sz="1200"/>
            </a:pPr>
            <a:endParaRPr lang="en-US"/>
          </a:p>
        </c:txPr>
        <c:crossAx val="144042920"/>
        <c:crosses val="autoZero"/>
        <c:crossBetween val="between"/>
      </c:valAx>
      <c:valAx>
        <c:axId val="144043704"/>
        <c:scaling>
          <c:orientation val="minMax"/>
        </c:scaling>
        <c:delete val="0"/>
        <c:axPos val="r"/>
        <c:numFmt formatCode="0%" sourceLinked="0"/>
        <c:majorTickMark val="out"/>
        <c:minorTickMark val="none"/>
        <c:tickLblPos val="nextTo"/>
        <c:txPr>
          <a:bodyPr/>
          <a:lstStyle/>
          <a:p>
            <a:pPr>
              <a:defRPr sz="1200"/>
            </a:pPr>
            <a:endParaRPr lang="en-US"/>
          </a:p>
        </c:txPr>
        <c:crossAx val="144044096"/>
        <c:crosses val="max"/>
        <c:crossBetween val="between"/>
      </c:valAx>
      <c:catAx>
        <c:axId val="144044096"/>
        <c:scaling>
          <c:orientation val="minMax"/>
        </c:scaling>
        <c:delete val="1"/>
        <c:axPos val="b"/>
        <c:numFmt formatCode="General" sourceLinked="1"/>
        <c:majorTickMark val="out"/>
        <c:minorTickMark val="none"/>
        <c:tickLblPos val="none"/>
        <c:crossAx val="144043704"/>
        <c:crosses val="autoZero"/>
        <c:auto val="1"/>
        <c:lblAlgn val="ctr"/>
        <c:lblOffset val="100"/>
        <c:noMultiLvlLbl val="0"/>
      </c:catAx>
    </c:plotArea>
    <c:legend>
      <c:legendPos val="r"/>
      <c:layout>
        <c:manualLayout>
          <c:xMode val="edge"/>
          <c:yMode val="edge"/>
          <c:x val="0.80552928921492439"/>
          <c:y val="0.25242153916441018"/>
          <c:w val="0.17829623420746155"/>
          <c:h val="0.32997276273185056"/>
        </c:manualLayout>
      </c:layout>
      <c:overlay val="0"/>
      <c:txPr>
        <a:bodyPr/>
        <a:lstStyle/>
        <a:p>
          <a:pPr>
            <a:defRPr sz="120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Performance</c:v>
          </c:tx>
          <c:invertIfNegative val="0"/>
          <c:dLbls>
            <c:spPr>
              <a:noFill/>
              <a:ln>
                <a:noFill/>
              </a:ln>
              <a:effectLst/>
            </c:spPr>
            <c:txPr>
              <a:bodyPr/>
              <a:lstStyle/>
              <a:p>
                <a:pPr>
                  <a:defRPr sz="1200" b="1">
                    <a:solidFill>
                      <a:schemeClr val="bg1"/>
                    </a:solidFill>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CLA!$B$26:$E$27</c:f>
              <c:multiLvlStrCache>
                <c:ptCount val="4"/>
                <c:lvl>
                  <c:pt idx="0">
                    <c:v>2012/13</c:v>
                  </c:pt>
                  <c:pt idx="1">
                    <c:v>2013/14</c:v>
                  </c:pt>
                  <c:pt idx="2">
                    <c:v>2014/15</c:v>
                  </c:pt>
                  <c:pt idx="3">
                    <c:v>2015/16 Jun</c:v>
                  </c:pt>
                </c:lvl>
                <c:lvl>
                  <c:pt idx="0">
                    <c:v>Previous Performance</c:v>
                  </c:pt>
                  <c:pt idx="3">
                    <c:v>Current Performance</c:v>
                  </c:pt>
                </c:lvl>
              </c:multiLvlStrCache>
            </c:multiLvlStrRef>
          </c:cat>
          <c:val>
            <c:numRef>
              <c:f>CLA!$B$28:$E$28</c:f>
              <c:numCache>
                <c:formatCode>0.0%</c:formatCode>
                <c:ptCount val="4"/>
                <c:pt idx="0">
                  <c:v>0.73399999999999999</c:v>
                </c:pt>
                <c:pt idx="1">
                  <c:v>0.65800000000000003</c:v>
                </c:pt>
                <c:pt idx="2">
                  <c:v>0.69399999999999995</c:v>
                </c:pt>
                <c:pt idx="3">
                  <c:v>0.68200000000000005</c:v>
                </c:pt>
              </c:numCache>
            </c:numRef>
          </c:val>
        </c:ser>
        <c:dLbls>
          <c:showLegendKey val="0"/>
          <c:showVal val="0"/>
          <c:showCatName val="0"/>
          <c:showSerName val="0"/>
          <c:showPercent val="0"/>
          <c:showBubbleSize val="0"/>
        </c:dLbls>
        <c:gapWidth val="100"/>
        <c:axId val="144044488"/>
        <c:axId val="128359016"/>
      </c:barChart>
      <c:lineChart>
        <c:grouping val="stacked"/>
        <c:varyColors val="0"/>
        <c:ser>
          <c:idx val="1"/>
          <c:order val="1"/>
          <c:tx>
            <c:v>Target</c:v>
          </c:tx>
          <c:marker>
            <c:symbol val="diamond"/>
            <c:size val="5"/>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a:noFill/>
              </a:ln>
              <a:effectLst/>
            </c:spPr>
            <c:txPr>
              <a:bodyPr/>
              <a:lstStyle/>
              <a:p>
                <a:pPr>
                  <a:defRPr sz="1200" b="1">
                    <a:solidFill>
                      <a:sysClr val="windowText" lastClr="000000"/>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CLA!$B$26:$E$27</c:f>
              <c:multiLvlStrCache>
                <c:ptCount val="4"/>
                <c:lvl>
                  <c:pt idx="0">
                    <c:v>2012/13</c:v>
                  </c:pt>
                  <c:pt idx="1">
                    <c:v>2013/14</c:v>
                  </c:pt>
                  <c:pt idx="2">
                    <c:v>2014/15</c:v>
                  </c:pt>
                  <c:pt idx="3">
                    <c:v>2015/16 Jun</c:v>
                  </c:pt>
                </c:lvl>
                <c:lvl>
                  <c:pt idx="0">
                    <c:v>Previous Performance</c:v>
                  </c:pt>
                  <c:pt idx="3">
                    <c:v>Current Performance</c:v>
                  </c:pt>
                </c:lvl>
              </c:multiLvlStrCache>
            </c:multiLvlStrRef>
          </c:cat>
          <c:val>
            <c:numRef>
              <c:f>CLA!$B$29:$E$29</c:f>
              <c:numCache>
                <c:formatCode>0.0%</c:formatCode>
                <c:ptCount val="4"/>
                <c:pt idx="0">
                  <c:v>0.72599999999999998</c:v>
                </c:pt>
                <c:pt idx="1">
                  <c:v>0.72599999999999998</c:v>
                </c:pt>
                <c:pt idx="2">
                  <c:v>0.72599999999999998</c:v>
                </c:pt>
                <c:pt idx="3">
                  <c:v>0.72599999999999998</c:v>
                </c:pt>
              </c:numCache>
            </c:numRef>
          </c:val>
          <c:smooth val="0"/>
        </c:ser>
        <c:dLbls>
          <c:showLegendKey val="0"/>
          <c:showVal val="0"/>
          <c:showCatName val="0"/>
          <c:showSerName val="0"/>
          <c:showPercent val="0"/>
          <c:showBubbleSize val="0"/>
        </c:dLbls>
        <c:marker val="1"/>
        <c:smooth val="0"/>
        <c:axId val="145514472"/>
        <c:axId val="128358624"/>
      </c:lineChart>
      <c:catAx>
        <c:axId val="144044488"/>
        <c:scaling>
          <c:orientation val="minMax"/>
        </c:scaling>
        <c:delete val="0"/>
        <c:axPos val="b"/>
        <c:numFmt formatCode="General" sourceLinked="0"/>
        <c:majorTickMark val="out"/>
        <c:minorTickMark val="none"/>
        <c:tickLblPos val="nextTo"/>
        <c:crossAx val="128359016"/>
        <c:crosses val="autoZero"/>
        <c:auto val="1"/>
        <c:lblAlgn val="ctr"/>
        <c:lblOffset val="100"/>
        <c:noMultiLvlLbl val="0"/>
      </c:catAx>
      <c:valAx>
        <c:axId val="128359016"/>
        <c:scaling>
          <c:orientation val="minMax"/>
          <c:max val="0.73000000000000209"/>
          <c:min val="0.63000000000000211"/>
        </c:scaling>
        <c:delete val="0"/>
        <c:axPos val="l"/>
        <c:majorGridlines/>
        <c:numFmt formatCode="0.0%" sourceLinked="1"/>
        <c:majorTickMark val="out"/>
        <c:minorTickMark val="none"/>
        <c:tickLblPos val="nextTo"/>
        <c:crossAx val="144044488"/>
        <c:crosses val="autoZero"/>
        <c:crossBetween val="between"/>
        <c:majorUnit val="2.0000000000000011E-2"/>
      </c:valAx>
      <c:valAx>
        <c:axId val="128358624"/>
        <c:scaling>
          <c:orientation val="minMax"/>
          <c:max val="0.750000000000002"/>
          <c:min val="0.65000000000000224"/>
        </c:scaling>
        <c:delete val="1"/>
        <c:axPos val="r"/>
        <c:numFmt formatCode="0.0%" sourceLinked="1"/>
        <c:majorTickMark val="out"/>
        <c:minorTickMark val="none"/>
        <c:tickLblPos val="none"/>
        <c:crossAx val="145514472"/>
        <c:crosses val="max"/>
        <c:crossBetween val="between"/>
      </c:valAx>
      <c:catAx>
        <c:axId val="145514472"/>
        <c:scaling>
          <c:orientation val="minMax"/>
        </c:scaling>
        <c:delete val="1"/>
        <c:axPos val="b"/>
        <c:numFmt formatCode="General" sourceLinked="1"/>
        <c:majorTickMark val="out"/>
        <c:minorTickMark val="none"/>
        <c:tickLblPos val="none"/>
        <c:crossAx val="128358624"/>
        <c:crosses val="autoZero"/>
        <c:auto val="1"/>
        <c:lblAlgn val="ctr"/>
        <c:lblOffset val="100"/>
        <c:noMultiLvlLbl val="0"/>
      </c:catAx>
    </c:plotArea>
    <c:legend>
      <c:legendPos val="r"/>
      <c:layout>
        <c:manualLayout>
          <c:xMode val="edge"/>
          <c:yMode val="edge"/>
          <c:x val="0.75544947930250106"/>
          <c:y val="0.37189742495043482"/>
          <c:w val="0.22800355173522771"/>
          <c:h val="0.16788776339721734"/>
        </c:manualLayout>
      </c:layou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GB" sz="1600"/>
              <a:t>Exclusions of Children Looked After</a:t>
            </a:r>
          </a:p>
        </c:rich>
      </c:tx>
      <c:layout/>
      <c:overlay val="0"/>
    </c:title>
    <c:autoTitleDeleted val="0"/>
    <c:plotArea>
      <c:layout/>
      <c:barChart>
        <c:barDir val="col"/>
        <c:grouping val="clustered"/>
        <c:varyColors val="0"/>
        <c:ser>
          <c:idx val="0"/>
          <c:order val="0"/>
          <c:tx>
            <c:strRef>
              <c:f>Outcomes!$H$24:$H$25</c:f>
              <c:strCache>
                <c:ptCount val="2"/>
                <c:pt idx="0">
                  <c:v>Performance</c:v>
                </c:pt>
                <c:pt idx="1">
                  <c:v>2011/12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Outcomes!$G$26:$G$27</c:f>
              <c:strCache>
                <c:ptCount val="2"/>
                <c:pt idx="0">
                  <c:v>Permanent</c:v>
                </c:pt>
                <c:pt idx="1">
                  <c:v>Fixed Term</c:v>
                </c:pt>
              </c:strCache>
            </c:strRef>
          </c:cat>
          <c:val>
            <c:numRef>
              <c:f>Outcomes!$H$26:$H$27</c:f>
              <c:numCache>
                <c:formatCode>0</c:formatCode>
                <c:ptCount val="2"/>
                <c:pt idx="0">
                  <c:v>4</c:v>
                </c:pt>
                <c:pt idx="1">
                  <c:v>130</c:v>
                </c:pt>
              </c:numCache>
            </c:numRef>
          </c:val>
        </c:ser>
        <c:ser>
          <c:idx val="2"/>
          <c:order val="1"/>
          <c:tx>
            <c:strRef>
              <c:f>Outcomes!$I$24:$I$25</c:f>
              <c:strCache>
                <c:ptCount val="2"/>
                <c:pt idx="0">
                  <c:v>Performance</c:v>
                </c:pt>
                <c:pt idx="1">
                  <c:v>2012/13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Outcomes!$I$26:$I$27</c:f>
              <c:numCache>
                <c:formatCode>0</c:formatCode>
                <c:ptCount val="2"/>
                <c:pt idx="0">
                  <c:v>0</c:v>
                </c:pt>
                <c:pt idx="1">
                  <c:v>68</c:v>
                </c:pt>
              </c:numCache>
            </c:numRef>
          </c:val>
        </c:ser>
        <c:ser>
          <c:idx val="3"/>
          <c:order val="2"/>
          <c:tx>
            <c:strRef>
              <c:f>Outcomes!$J$24:$J$25</c:f>
              <c:strCache>
                <c:ptCount val="2"/>
                <c:pt idx="0">
                  <c:v>Performance</c:v>
                </c:pt>
                <c:pt idx="1">
                  <c:v>2013/14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Outcomes!$J$26:$J$27</c:f>
              <c:numCache>
                <c:formatCode>0</c:formatCode>
                <c:ptCount val="2"/>
                <c:pt idx="0">
                  <c:v>5</c:v>
                </c:pt>
                <c:pt idx="1">
                  <c:v>52</c:v>
                </c:pt>
              </c:numCache>
            </c:numRef>
          </c:val>
        </c:ser>
        <c:ser>
          <c:idx val="1"/>
          <c:order val="3"/>
          <c:tx>
            <c:strRef>
              <c:f>Outcomes!$K$24:$K$25</c:f>
              <c:strCache>
                <c:ptCount val="2"/>
                <c:pt idx="0">
                  <c:v>Target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Outcomes!$G$26:$G$27</c:f>
              <c:strCache>
                <c:ptCount val="2"/>
                <c:pt idx="0">
                  <c:v>Permanent</c:v>
                </c:pt>
                <c:pt idx="1">
                  <c:v>Fixed Term</c:v>
                </c:pt>
              </c:strCache>
            </c:strRef>
          </c:cat>
          <c:val>
            <c:numRef>
              <c:f>Outcomes!$K$26:$K$27</c:f>
              <c:numCache>
                <c:formatCode>0</c:formatCode>
                <c:ptCount val="2"/>
                <c:pt idx="0">
                  <c:v>0</c:v>
                </c:pt>
                <c:pt idx="1">
                  <c:v>70</c:v>
                </c:pt>
              </c:numCache>
            </c:numRef>
          </c:val>
        </c:ser>
        <c:dLbls>
          <c:showLegendKey val="0"/>
          <c:showVal val="0"/>
          <c:showCatName val="0"/>
          <c:showSerName val="0"/>
          <c:showPercent val="0"/>
          <c:showBubbleSize val="0"/>
        </c:dLbls>
        <c:gapWidth val="150"/>
        <c:axId val="145515648"/>
        <c:axId val="145516040"/>
      </c:barChart>
      <c:catAx>
        <c:axId val="145515648"/>
        <c:scaling>
          <c:orientation val="minMax"/>
        </c:scaling>
        <c:delete val="0"/>
        <c:axPos val="b"/>
        <c:numFmt formatCode="General" sourceLinked="0"/>
        <c:majorTickMark val="out"/>
        <c:minorTickMark val="none"/>
        <c:tickLblPos val="nextTo"/>
        <c:crossAx val="145516040"/>
        <c:crosses val="autoZero"/>
        <c:auto val="1"/>
        <c:lblAlgn val="ctr"/>
        <c:lblOffset val="100"/>
        <c:noMultiLvlLbl val="0"/>
      </c:catAx>
      <c:valAx>
        <c:axId val="145516040"/>
        <c:scaling>
          <c:orientation val="minMax"/>
        </c:scaling>
        <c:delete val="0"/>
        <c:axPos val="l"/>
        <c:majorGridlines/>
        <c:numFmt formatCode="0" sourceLinked="1"/>
        <c:majorTickMark val="out"/>
        <c:minorTickMark val="none"/>
        <c:tickLblPos val="nextTo"/>
        <c:crossAx val="14551564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18E46-A614-4B53-AC13-DB45616BD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11</Pages>
  <Words>3729</Words>
  <Characters>18555</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CORPORATE PARENTING BOARD PERFORMANCE REPORT, 31ST MAY 2014</vt:lpstr>
    </vt:vector>
  </TitlesOfParts>
  <Company>Lancashire County Council</Company>
  <LinksUpToDate>false</LinksUpToDate>
  <CharactersWithSpaces>22240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PARENTING BOARD PERFORMANCE REPORT, 31ST MAY 2014</dc:title>
  <dc:creator>msarjent001</dc:creator>
  <cp:lastModifiedBy>Greenwood, Chris</cp:lastModifiedBy>
  <cp:revision>18</cp:revision>
  <cp:lastPrinted>2013-11-26T16:02:00Z</cp:lastPrinted>
  <dcterms:created xsi:type="dcterms:W3CDTF">2015-06-08T13:11:00Z</dcterms:created>
  <dcterms:modified xsi:type="dcterms:W3CDTF">2015-09-08T09:20:00Z</dcterms:modified>
</cp:coreProperties>
</file>